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615F1C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615F1C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42542A">
        <w:rPr>
          <w:rFonts w:ascii="Times New Roman" w:hAnsi="Times New Roman" w:cs="Times New Roman"/>
          <w:b/>
          <w:sz w:val="24"/>
        </w:rPr>
        <w:t>, от 13.05.2025 № 1204</w:t>
      </w:r>
      <w:r w:rsidR="00A80377">
        <w:rPr>
          <w:rFonts w:ascii="Times New Roman" w:hAnsi="Times New Roman" w:cs="Times New Roman"/>
          <w:b/>
          <w:sz w:val="24"/>
        </w:rPr>
        <w:t>, от 05.06.2025 № 1446</w:t>
      </w:r>
      <w:r w:rsidR="00A168A2">
        <w:rPr>
          <w:rFonts w:ascii="Times New Roman" w:hAnsi="Times New Roman" w:cs="Times New Roman"/>
          <w:b/>
          <w:sz w:val="24"/>
        </w:rPr>
        <w:t>, от 22.07.2025 № 1882</w:t>
      </w:r>
      <w:r w:rsidR="00615F1C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615F1C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27.08.2025 № 2260</w:t>
      </w:r>
      <w:r w:rsidR="009023DA">
        <w:rPr>
          <w:rFonts w:ascii="Times New Roman" w:hAnsi="Times New Roman" w:cs="Times New Roman"/>
          <w:b/>
          <w:sz w:val="24"/>
        </w:rPr>
        <w:t>, от 16.09.2025 № 2460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</w:t>
      </w:r>
      <w:r w:rsidR="009115A4">
        <w:rPr>
          <w:rFonts w:ascii="Times New Roman" w:hAnsi="Times New Roman" w:cs="Times New Roman"/>
          <w:sz w:val="24"/>
        </w:rPr>
        <w:t xml:space="preserve">объемов </w:t>
      </w:r>
      <w:r w:rsidR="00A80377">
        <w:rPr>
          <w:rFonts w:ascii="Times New Roman" w:hAnsi="Times New Roman" w:cs="Times New Roman"/>
          <w:sz w:val="24"/>
        </w:rPr>
        <w:t>финансирования</w:t>
      </w:r>
      <w:r w:rsidR="002D17F2">
        <w:rPr>
          <w:rFonts w:ascii="Times New Roman" w:hAnsi="Times New Roman" w:cs="Times New Roman"/>
          <w:sz w:val="24"/>
        </w:rPr>
        <w:t xml:space="preserve"> </w:t>
      </w:r>
      <w:r w:rsidR="00615F1C">
        <w:rPr>
          <w:rFonts w:ascii="Times New Roman" w:hAnsi="Times New Roman" w:cs="Times New Roman"/>
          <w:sz w:val="24"/>
        </w:rPr>
        <w:t xml:space="preserve">мероприятий  </w:t>
      </w:r>
      <w:r w:rsidR="002D17F2">
        <w:rPr>
          <w:rFonts w:ascii="Times New Roman" w:hAnsi="Times New Roman" w:cs="Times New Roman"/>
          <w:sz w:val="24"/>
        </w:rPr>
        <w:t>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42542A">
        <w:rPr>
          <w:rFonts w:ascii="Times New Roman" w:hAnsi="Times New Roman" w:cs="Times New Roman"/>
          <w:sz w:val="24"/>
        </w:rPr>
        <w:t>, от 13.05</w:t>
      </w:r>
      <w:r w:rsidR="00B161E6">
        <w:rPr>
          <w:rFonts w:ascii="Times New Roman" w:hAnsi="Times New Roman" w:cs="Times New Roman"/>
          <w:sz w:val="24"/>
        </w:rPr>
        <w:t>.2025 № 1204</w:t>
      </w:r>
      <w:r w:rsidR="00A80377">
        <w:rPr>
          <w:rFonts w:ascii="Times New Roman" w:hAnsi="Times New Roman" w:cs="Times New Roman"/>
          <w:sz w:val="24"/>
        </w:rPr>
        <w:t>, от 05.06.2025 № 1446</w:t>
      </w:r>
      <w:r w:rsidR="00A168A2">
        <w:rPr>
          <w:rFonts w:ascii="Times New Roman" w:hAnsi="Times New Roman" w:cs="Times New Roman"/>
          <w:sz w:val="24"/>
        </w:rPr>
        <w:t>, от 22.07.2025 № 1882</w:t>
      </w:r>
      <w:r w:rsidR="00615F1C">
        <w:rPr>
          <w:rFonts w:ascii="Times New Roman" w:hAnsi="Times New Roman" w:cs="Times New Roman"/>
          <w:sz w:val="24"/>
        </w:rPr>
        <w:t>, от 27.08.2025 № 2260</w:t>
      </w:r>
      <w:r w:rsidR="009023DA">
        <w:rPr>
          <w:rFonts w:ascii="Times New Roman" w:hAnsi="Times New Roman" w:cs="Times New Roman"/>
          <w:sz w:val="24"/>
        </w:rPr>
        <w:t>, от</w:t>
      </w:r>
      <w:r w:rsidR="00081D63">
        <w:rPr>
          <w:rFonts w:ascii="Times New Roman" w:hAnsi="Times New Roman" w:cs="Times New Roman"/>
          <w:sz w:val="24"/>
        </w:rPr>
        <w:t xml:space="preserve"> 16.09.2025 № 2460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615F1C">
        <w:rPr>
          <w:rFonts w:ascii="Times New Roman" w:hAnsi="Times New Roman" w:cs="Times New Roman"/>
          <w:sz w:val="24"/>
        </w:rPr>
        <w:t>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615F1C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615F1C" w:rsidRDefault="00BF7768" w:rsidP="009023DA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9023DA" w:rsidRPr="009023DA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615F1C" w:rsidRDefault="00615F1C" w:rsidP="00615F1C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1.2. Подраздел 10.1 «Перечень мероприятий подпрограммы 2 «Дороги Подмосковья»            раздела 10 «Подпрограмма 2 «Дороги Подмосковья» изложить </w:t>
      </w:r>
      <w:r w:rsidR="009023DA">
        <w:rPr>
          <w:rFonts w:ascii="Times New Roman" w:hAnsi="Times New Roman" w:cs="Times New Roman"/>
          <w:sz w:val="24"/>
        </w:rPr>
        <w:t>в редакции согласно приложению 2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9023DA" w:rsidRDefault="00615F1C" w:rsidP="009023DA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1.3. </w:t>
      </w:r>
      <w:r w:rsidR="009023DA" w:rsidRPr="009023DA">
        <w:rPr>
          <w:rFonts w:ascii="Times New Roman" w:hAnsi="Times New Roman" w:cs="Times New Roman"/>
          <w:sz w:val="24"/>
        </w:rPr>
        <w:t xml:space="preserve">Подраздел 10.2 «Адресный перечень капитального ремонта объектов муниципальной собственности </w:t>
      </w:r>
      <w:r w:rsidR="00081D63">
        <w:rPr>
          <w:rFonts w:ascii="Times New Roman" w:hAnsi="Times New Roman" w:cs="Times New Roman"/>
          <w:sz w:val="24"/>
        </w:rPr>
        <w:t xml:space="preserve">  </w:t>
      </w:r>
      <w:r w:rsidR="009023DA" w:rsidRPr="009023DA">
        <w:rPr>
          <w:rFonts w:ascii="Times New Roman" w:hAnsi="Times New Roman" w:cs="Times New Roman"/>
          <w:sz w:val="24"/>
        </w:rPr>
        <w:t xml:space="preserve">городского </w:t>
      </w:r>
      <w:r w:rsidR="00081D63">
        <w:rPr>
          <w:rFonts w:ascii="Times New Roman" w:hAnsi="Times New Roman" w:cs="Times New Roman"/>
          <w:sz w:val="24"/>
        </w:rPr>
        <w:t xml:space="preserve">  </w:t>
      </w:r>
      <w:r w:rsidR="009023DA" w:rsidRPr="009023DA">
        <w:rPr>
          <w:rFonts w:ascii="Times New Roman" w:hAnsi="Times New Roman" w:cs="Times New Roman"/>
          <w:sz w:val="24"/>
        </w:rPr>
        <w:t xml:space="preserve">округа </w:t>
      </w:r>
      <w:r w:rsidR="00081D63">
        <w:rPr>
          <w:rFonts w:ascii="Times New Roman" w:hAnsi="Times New Roman" w:cs="Times New Roman"/>
          <w:sz w:val="24"/>
        </w:rPr>
        <w:t xml:space="preserve">  </w:t>
      </w:r>
      <w:r w:rsidR="009023DA" w:rsidRPr="009023DA">
        <w:rPr>
          <w:rFonts w:ascii="Times New Roman" w:hAnsi="Times New Roman" w:cs="Times New Roman"/>
          <w:sz w:val="24"/>
        </w:rPr>
        <w:t xml:space="preserve">Воскресенск </w:t>
      </w:r>
      <w:r w:rsidR="00081D63">
        <w:rPr>
          <w:rFonts w:ascii="Times New Roman" w:hAnsi="Times New Roman" w:cs="Times New Roman"/>
          <w:sz w:val="24"/>
        </w:rPr>
        <w:t xml:space="preserve"> </w:t>
      </w:r>
      <w:r w:rsidR="009023DA" w:rsidRPr="009023DA">
        <w:rPr>
          <w:rFonts w:ascii="Times New Roman" w:hAnsi="Times New Roman" w:cs="Times New Roman"/>
          <w:sz w:val="24"/>
        </w:rPr>
        <w:t xml:space="preserve">Московской </w:t>
      </w:r>
      <w:r w:rsidR="00081D63">
        <w:rPr>
          <w:rFonts w:ascii="Times New Roman" w:hAnsi="Times New Roman" w:cs="Times New Roman"/>
          <w:sz w:val="24"/>
        </w:rPr>
        <w:t xml:space="preserve"> </w:t>
      </w:r>
      <w:r w:rsidR="009023DA" w:rsidRPr="009023DA">
        <w:rPr>
          <w:rFonts w:ascii="Times New Roman" w:hAnsi="Times New Roman" w:cs="Times New Roman"/>
          <w:sz w:val="24"/>
        </w:rPr>
        <w:t>области, финансирование которых</w:t>
      </w:r>
    </w:p>
    <w:p w:rsidR="009023DA" w:rsidRDefault="009023DA" w:rsidP="009023DA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23DA" w:rsidRDefault="009023DA" w:rsidP="009023DA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23DA" w:rsidRPr="009023DA" w:rsidRDefault="009023DA" w:rsidP="009023DA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3DA">
        <w:rPr>
          <w:rFonts w:ascii="Times New Roman" w:hAnsi="Times New Roman" w:cs="Times New Roman"/>
          <w:sz w:val="24"/>
        </w:rPr>
        <w:t xml:space="preserve">предусмотрено мероприятиями 04.01. Мероприятие в рамках ГП МО - Капитальный ремонт и          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 04.08. Дорожная деятельность в отношении автомобильных дорог местного     значения в границах городского округа; 04.18. Финансирование работ по капитальному ремонту и ремонту </w:t>
      </w:r>
      <w:r>
        <w:rPr>
          <w:rFonts w:ascii="Times New Roman" w:hAnsi="Times New Roman" w:cs="Times New Roman"/>
          <w:sz w:val="24"/>
        </w:rPr>
        <w:t xml:space="preserve"> </w:t>
      </w:r>
      <w:r w:rsidRPr="009023DA">
        <w:rPr>
          <w:rFonts w:ascii="Times New Roman" w:hAnsi="Times New Roman" w:cs="Times New Roman"/>
          <w:sz w:val="24"/>
        </w:rPr>
        <w:t xml:space="preserve">автомобильных </w:t>
      </w:r>
      <w:r>
        <w:rPr>
          <w:rFonts w:ascii="Times New Roman" w:hAnsi="Times New Roman" w:cs="Times New Roman"/>
          <w:sz w:val="24"/>
        </w:rPr>
        <w:t xml:space="preserve"> </w:t>
      </w:r>
      <w:r w:rsidRPr="009023DA">
        <w:rPr>
          <w:rFonts w:ascii="Times New Roman" w:hAnsi="Times New Roman" w:cs="Times New Roman"/>
          <w:sz w:val="24"/>
        </w:rPr>
        <w:t xml:space="preserve">дорог общего пользования местного </w:t>
      </w:r>
      <w:r>
        <w:rPr>
          <w:rFonts w:ascii="Times New Roman" w:hAnsi="Times New Roman" w:cs="Times New Roman"/>
          <w:sz w:val="24"/>
        </w:rPr>
        <w:t xml:space="preserve"> </w:t>
      </w:r>
      <w:r w:rsidRPr="009023DA">
        <w:rPr>
          <w:rFonts w:ascii="Times New Roman" w:hAnsi="Times New Roman" w:cs="Times New Roman"/>
          <w:sz w:val="24"/>
        </w:rPr>
        <w:t>значения Подпрограммы 2 «Дороги</w:t>
      </w:r>
    </w:p>
    <w:p w:rsidR="00615F1C" w:rsidRDefault="009023DA" w:rsidP="009023DA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3DA">
        <w:rPr>
          <w:rFonts w:ascii="Times New Roman" w:hAnsi="Times New Roman" w:cs="Times New Roman"/>
          <w:sz w:val="24"/>
        </w:rPr>
        <w:t>Подмосковья» муниципальной программы «Развитие и функционирование дорожно-транспортного комплекса» раздела 10 «Подпрограмма 2 «Дороги Подмосковья» изложить в редакции согласно приложению</w:t>
      </w:r>
      <w:r>
        <w:rPr>
          <w:rFonts w:ascii="Times New Roman" w:hAnsi="Times New Roman" w:cs="Times New Roman"/>
          <w:sz w:val="24"/>
        </w:rPr>
        <w:t xml:space="preserve"> 3</w:t>
      </w:r>
      <w:r w:rsidRPr="009023DA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B25FE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B25FE5">
        <w:rPr>
          <w:rFonts w:ascii="Times New Roman" w:hAnsi="Times New Roman" w:cs="Times New Roman"/>
          <w:sz w:val="24"/>
        </w:rPr>
        <w:t>Карасева С.И.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65DD" w:rsidRDefault="001D6C92" w:rsidP="00A7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9023D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</w:t>
      </w:r>
      <w:r w:rsidR="009023DA">
        <w:rPr>
          <w:rFonts w:ascii="Times New Roman" w:hAnsi="Times New Roman" w:cs="Times New Roman"/>
          <w:sz w:val="24"/>
        </w:rPr>
        <w:t xml:space="preserve">      А.В. Малкин</w:t>
      </w:r>
    </w:p>
    <w:p w:rsidR="004165DD" w:rsidRDefault="004165DD" w:rsidP="00A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5DD" w:rsidSect="00C818A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165DD" w:rsidRPr="004165DD" w:rsidRDefault="004165DD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615F1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165DD" w:rsidRPr="004165DD" w:rsidRDefault="004165DD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165DD" w:rsidRPr="004165DD" w:rsidRDefault="004165DD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165DD" w:rsidRPr="004165DD" w:rsidRDefault="004165DD" w:rsidP="00D21568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 w:rsidR="009E6167"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615F1C" w:rsidRDefault="002248ED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81D63" w:rsidRPr="00AD2FF5" w:rsidRDefault="00081D63" w:rsidP="00081D6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081D63" w:rsidRPr="00AD2FF5" w:rsidRDefault="00081D63" w:rsidP="00081D6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304"/>
        <w:gridCol w:w="1418"/>
        <w:gridCol w:w="1275"/>
        <w:gridCol w:w="1276"/>
        <w:gridCol w:w="1418"/>
        <w:gridCol w:w="1559"/>
        <w:gridCol w:w="1389"/>
      </w:tblGrid>
      <w:tr w:rsidR="00081D63" w:rsidRPr="002F3A7B" w:rsidTr="00726440">
        <w:trPr>
          <w:trHeight w:val="238"/>
        </w:trPr>
        <w:tc>
          <w:tcPr>
            <w:tcW w:w="5529" w:type="dxa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7"/>
          </w:tcPr>
          <w:p w:rsidR="00081D63" w:rsidRPr="002F3A7B" w:rsidRDefault="00081D63" w:rsidP="0072644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243620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081D63" w:rsidRPr="002F3A7B" w:rsidTr="00726440">
        <w:tc>
          <w:tcPr>
            <w:tcW w:w="5529" w:type="dxa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7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</w:t>
            </w:r>
            <w:r w:rsidR="00D2156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УРИиЭ)</w:t>
            </w:r>
          </w:p>
        </w:tc>
      </w:tr>
      <w:tr w:rsidR="00081D63" w:rsidRPr="002F3A7B" w:rsidTr="00726440">
        <w:tc>
          <w:tcPr>
            <w:tcW w:w="5529" w:type="dxa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081D63" w:rsidRPr="001A2EDE" w:rsidRDefault="00081D63" w:rsidP="0072644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4"/>
              </w:rPr>
              <w:t>, повышение уровня безопасности дорожно-транспортного комплекса, снижение смертности от дорожно-транспортных происшествий</w:t>
            </w:r>
            <w:r w:rsidRPr="001A2ED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81D63" w:rsidRPr="002F3A7B" w:rsidTr="00726440">
        <w:tc>
          <w:tcPr>
            <w:tcW w:w="5529" w:type="dxa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639" w:type="dxa"/>
            <w:gridSpan w:val="7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081D63" w:rsidRPr="002F3A7B" w:rsidTr="0072644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2B56A1" w:rsidRDefault="00081D63" w:rsidP="00726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7"/>
          </w:tcPr>
          <w:p w:rsidR="00081D63" w:rsidRPr="005D49F3" w:rsidRDefault="00081D63" w:rsidP="007264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081D63" w:rsidRPr="002F3A7B" w:rsidTr="0072644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2B56A1" w:rsidRDefault="00081D63" w:rsidP="00726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7"/>
          </w:tcPr>
          <w:p w:rsidR="00081D63" w:rsidRPr="005D49F3" w:rsidRDefault="00081D63" w:rsidP="007264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081D63" w:rsidRPr="002F3A7B" w:rsidTr="0072644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2B56A1" w:rsidRDefault="00081D63" w:rsidP="00726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7"/>
          </w:tcPr>
          <w:p w:rsidR="00081D63" w:rsidRPr="005D49F3" w:rsidRDefault="00081D63" w:rsidP="007264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081D63" w:rsidRPr="002F3A7B" w:rsidTr="0072644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«Безопасность дорожного движения»</w:t>
            </w:r>
          </w:p>
        </w:tc>
        <w:tc>
          <w:tcPr>
            <w:tcW w:w="9639" w:type="dxa"/>
            <w:gridSpan w:val="7"/>
          </w:tcPr>
          <w:p w:rsidR="00081D63" w:rsidRPr="004A260A" w:rsidRDefault="00081D63" w:rsidP="007264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57D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081D63" w:rsidRPr="002F3A7B" w:rsidTr="00726440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D63" w:rsidRPr="00D008F0" w:rsidRDefault="00081D63" w:rsidP="00726440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081D63" w:rsidRPr="002F3A7B" w:rsidTr="0072644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D63" w:rsidRPr="002B52AE" w:rsidRDefault="00081D63" w:rsidP="00726440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081D63" w:rsidRPr="002F3A7B" w:rsidTr="0072644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D63" w:rsidRPr="00D008F0" w:rsidRDefault="00081D63" w:rsidP="00726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081D63" w:rsidRPr="002F3A7B" w:rsidTr="0072644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D63" w:rsidRDefault="00081D63" w:rsidP="00726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Снижение тяжести последствий дорожно-транспортных происшествий</w:t>
            </w:r>
          </w:p>
        </w:tc>
      </w:tr>
      <w:tr w:rsidR="00081D63" w:rsidRPr="002F3A7B" w:rsidTr="00726440">
        <w:tc>
          <w:tcPr>
            <w:tcW w:w="5529" w:type="dxa"/>
            <w:tcBorders>
              <w:top w:val="single" w:sz="4" w:space="0" w:color="auto"/>
            </w:tcBorders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2028-2029 годы</w:t>
            </w:r>
          </w:p>
        </w:tc>
      </w:tr>
      <w:tr w:rsidR="00081D63" w:rsidRPr="002F3A7B" w:rsidTr="00726440">
        <w:trPr>
          <w:trHeight w:val="423"/>
        </w:trPr>
        <w:tc>
          <w:tcPr>
            <w:tcW w:w="5529" w:type="dxa"/>
            <w:vAlign w:val="center"/>
          </w:tcPr>
          <w:p w:rsidR="00081D63" w:rsidRPr="00216EA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81D63" w:rsidRPr="002F3A7B" w:rsidTr="00726440">
        <w:trPr>
          <w:trHeight w:val="423"/>
        </w:trPr>
        <w:tc>
          <w:tcPr>
            <w:tcW w:w="5529" w:type="dxa"/>
            <w:vAlign w:val="center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634 687,90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158 665,70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276 333,20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119 963,00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81D63" w:rsidRPr="002F3A7B" w:rsidTr="00726440">
        <w:trPr>
          <w:trHeight w:val="401"/>
        </w:trPr>
        <w:tc>
          <w:tcPr>
            <w:tcW w:w="5529" w:type="dxa"/>
            <w:vAlign w:val="center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3 526 349,40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624 648,97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880 182,50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832 929,30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839 419,80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81D63" w:rsidRPr="002F3A7B" w:rsidTr="00726440">
        <w:trPr>
          <w:trHeight w:val="422"/>
        </w:trPr>
        <w:tc>
          <w:tcPr>
            <w:tcW w:w="5529" w:type="dxa"/>
            <w:vAlign w:val="center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081D63" w:rsidRPr="002F3A7B" w:rsidTr="00726440">
        <w:trPr>
          <w:trHeight w:val="414"/>
        </w:trPr>
        <w:tc>
          <w:tcPr>
            <w:tcW w:w="5529" w:type="dxa"/>
            <w:vAlign w:val="center"/>
          </w:tcPr>
          <w:p w:rsidR="00081D63" w:rsidRPr="002F3A7B" w:rsidRDefault="00081D63" w:rsidP="0072644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304" w:type="dxa"/>
            <w:vAlign w:val="center"/>
          </w:tcPr>
          <w:p w:rsidR="00081D63" w:rsidRPr="002F3A7B" w:rsidRDefault="00081D63" w:rsidP="00726440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4 161 037,30</w:t>
            </w:r>
          </w:p>
        </w:tc>
        <w:tc>
          <w:tcPr>
            <w:tcW w:w="1418" w:type="dxa"/>
            <w:vAlign w:val="center"/>
          </w:tcPr>
          <w:p w:rsidR="00081D63" w:rsidRPr="002B75B0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275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640 742,97</w:t>
            </w:r>
          </w:p>
        </w:tc>
        <w:tc>
          <w:tcPr>
            <w:tcW w:w="1276" w:type="dxa"/>
            <w:vAlign w:val="center"/>
          </w:tcPr>
          <w:p w:rsidR="00081D63" w:rsidRPr="002F3A7B" w:rsidRDefault="00081D63" w:rsidP="00726440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1 038 848,20</w:t>
            </w:r>
          </w:p>
        </w:tc>
        <w:tc>
          <w:tcPr>
            <w:tcW w:w="1418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1 109 262,50</w:t>
            </w:r>
          </w:p>
        </w:tc>
        <w:tc>
          <w:tcPr>
            <w:tcW w:w="155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959 382,80</w:t>
            </w:r>
          </w:p>
        </w:tc>
        <w:tc>
          <w:tcPr>
            <w:tcW w:w="1389" w:type="dxa"/>
            <w:vAlign w:val="center"/>
          </w:tcPr>
          <w:p w:rsidR="00081D63" w:rsidRPr="002F3A7B" w:rsidRDefault="00081D63" w:rsidP="00726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81D63" w:rsidRPr="00AD2FF5" w:rsidRDefault="00081D63" w:rsidP="00081D6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Pr="004165DD" w:rsidRDefault="00615F1C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615F1C" w:rsidRPr="004165DD" w:rsidRDefault="00615F1C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15F1C" w:rsidRPr="004165DD" w:rsidRDefault="00615F1C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15F1C" w:rsidRPr="004165DD" w:rsidRDefault="00615F1C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15F1C" w:rsidRPr="004165DD" w:rsidRDefault="00615F1C" w:rsidP="00D21568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081D63" w:rsidRPr="00130EC3" w:rsidRDefault="00081D63" w:rsidP="00081D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</w:t>
      </w:r>
      <w:r w:rsidRPr="00130EC3">
        <w:rPr>
          <w:rFonts w:ascii="Times New Roman" w:hAnsi="Times New Roman" w:cs="Times New Roman"/>
          <w:sz w:val="24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584"/>
        <w:gridCol w:w="686"/>
        <w:gridCol w:w="1394"/>
        <w:gridCol w:w="1255"/>
        <w:gridCol w:w="964"/>
        <w:gridCol w:w="1107"/>
        <w:gridCol w:w="965"/>
        <w:gridCol w:w="51"/>
        <w:gridCol w:w="539"/>
        <w:gridCol w:w="9"/>
        <w:gridCol w:w="511"/>
        <w:gridCol w:w="687"/>
        <w:gridCol w:w="992"/>
        <w:gridCol w:w="1047"/>
        <w:gridCol w:w="1047"/>
        <w:gridCol w:w="511"/>
        <w:gridCol w:w="614"/>
        <w:gridCol w:w="811"/>
      </w:tblGrid>
      <w:tr w:rsidR="00081D63" w:rsidRPr="00436DBD" w:rsidTr="00726440">
        <w:trPr>
          <w:trHeight w:val="216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989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81D63" w:rsidRPr="00436DBD" w:rsidTr="00726440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03E06" w:rsidRDefault="00081D63" w:rsidP="007264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83708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08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E24EB7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81D63" w:rsidRPr="00436DBD" w:rsidTr="00726440">
        <w:trPr>
          <w:trHeight w:val="1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D63" w:rsidRPr="00942F5D" w:rsidTr="00726440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1 458 037,84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385 170,70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942F5D" w:rsidTr="00726440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1 411 902,84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385 170,70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240 386,00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7B2113" w:rsidRDefault="00081D63" w:rsidP="007264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081D63" w:rsidRPr="00942F5D" w:rsidTr="00726440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194 251,00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81D63" w:rsidRPr="00942F5D" w:rsidTr="00726440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942F5D" w:rsidTr="00726440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DE1202" w:rsidTr="00726440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081D63" w:rsidRPr="00DE1202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DE1202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DE1202" w:rsidTr="00726440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DE1202" w:rsidTr="00726440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DE1202" w:rsidTr="00726440">
        <w:trPr>
          <w:trHeight w:val="101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81052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52EB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52EB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B3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52EB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A7D58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942F5D" w:rsidTr="00726440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64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161902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6 536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A7456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814F2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942F5D" w:rsidTr="00726440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0E7F30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FD2E85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814F2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814F2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814F2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814F2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5573FA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C38DF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C38DF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C38DF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C38DF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DC38DF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04.15. (в 2023 году 04.07) </w:t>
            </w:r>
          </w:p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480,00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Мероприятие 04.18.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1 094 379,70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385 170,70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C4A72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7392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1 094 379,70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385 170,70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1 458 037,84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385 170,70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81D63" w:rsidRPr="00300A9C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942F5D" w:rsidTr="00726440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1 411 902,84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385 170,70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300A9C" w:rsidRDefault="00081D63" w:rsidP="00726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D63" w:rsidRPr="00942F5D" w:rsidRDefault="00081D63" w:rsidP="00726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1D63" w:rsidRDefault="00081D63" w:rsidP="00081D63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081D63" w:rsidRDefault="00081D63" w:rsidP="00081D6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615F1C" w:rsidRDefault="00615F1C" w:rsidP="0061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63" w:rsidRDefault="00081D63" w:rsidP="0061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63" w:rsidRDefault="00081D63" w:rsidP="0061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63" w:rsidRDefault="00081D63" w:rsidP="0061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63" w:rsidRDefault="00081D63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9F00FB" w:rsidRDefault="009F00FB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9F00FB" w:rsidRDefault="009F00FB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Default="00081D63" w:rsidP="00081D63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081D63" w:rsidRPr="004165DD" w:rsidRDefault="00081D63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081D63" w:rsidRPr="004165DD" w:rsidRDefault="00081D63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81D63" w:rsidRPr="004165DD" w:rsidRDefault="00081D63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081D63" w:rsidRPr="004165DD" w:rsidRDefault="00081D63" w:rsidP="00D21568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081D63" w:rsidRPr="004165DD" w:rsidRDefault="00081D63" w:rsidP="00D21568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081D63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81D63" w:rsidRPr="00A740C0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10.2. Адресный перечень капитального ремонта объектов муниципальной собственности</w:t>
      </w:r>
    </w:p>
    <w:p w:rsidR="00081D63" w:rsidRPr="00A740C0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081D63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мероприятиями 04.01. Мероприятие в рамках ГП МО - Капитальный ремонт и ремонт автомобильных дорог общего пользования местного </w:t>
      </w:r>
    </w:p>
    <w:p w:rsidR="00081D63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значения; 04.03. Мероприятие, не включенное в ГП МО – Капитальный ремонт и ремонт автомобильных дорог общего пользования местного значения;</w:t>
      </w:r>
      <w:r w:rsidRPr="00A740C0"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04.08. Дорожная деятельность в отношении автомобильных дорог местного значения в границах городского округа; </w:t>
      </w:r>
    </w:p>
    <w:p w:rsidR="00081D63" w:rsidRPr="00A740C0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04.18. Финансирование работ по капитальному ремонту и ремонту автомобильных дорог общего пользования местного значения </w:t>
      </w:r>
    </w:p>
    <w:p w:rsidR="00081D63" w:rsidRPr="00A740C0" w:rsidRDefault="00081D63" w:rsidP="00081D63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Подпрограммы 2 «Дороги Подмосковья» муниципальной программы «Развитие и функционирование дорожно-транспортного комплекса»</w:t>
      </w:r>
    </w:p>
    <w:p w:rsidR="00081D63" w:rsidRPr="00300A9C" w:rsidRDefault="00081D63" w:rsidP="0008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1D63" w:rsidRPr="00300A9C" w:rsidRDefault="00081D63" w:rsidP="0008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Управление развития инфраструктуры и экологии Администрации городского округа Воскресенск </w:t>
      </w:r>
    </w:p>
    <w:p w:rsidR="00081D63" w:rsidRDefault="00081D63" w:rsidP="00081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Управление развития инфраструктуры и экологии</w:t>
      </w:r>
      <w:r w:rsidRPr="00300A9C"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«БИО»</w:t>
      </w:r>
    </w:p>
    <w:tbl>
      <w:tblPr>
        <w:tblW w:w="6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067"/>
        <w:gridCol w:w="1967"/>
        <w:gridCol w:w="2219"/>
        <w:gridCol w:w="1309"/>
        <w:gridCol w:w="1383"/>
        <w:gridCol w:w="1221"/>
        <w:gridCol w:w="1096"/>
        <w:gridCol w:w="1096"/>
        <w:gridCol w:w="1117"/>
        <w:gridCol w:w="1121"/>
        <w:gridCol w:w="1121"/>
        <w:gridCol w:w="1121"/>
        <w:gridCol w:w="1124"/>
      </w:tblGrid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46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ПИР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gridAfter w:val="3"/>
          <w:wAfter w:w="910" w:type="pct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Берендино уч.1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08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местного значения (подъезд к многоквартирному дому по ул.Железнодорожная, д.1, вблизи ж/д о.п. Ратмирово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Губино, ул. Молодежная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местного значения д. Вострянское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2 538,41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2 538,41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62 073,99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24 623,99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37 450,00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16 047,00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16 047,00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Берендино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16 405,19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16 405,19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Экспертиза, технический надзор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63" w:rsidRPr="00796511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3 755,29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3 755,29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81D63" w:rsidRPr="00300A9C" w:rsidTr="00726440">
        <w:tc>
          <w:tcPr>
            <w:tcW w:w="2189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131 582,61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49 63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81 945,89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</w:tcBorders>
          </w:tcPr>
          <w:p w:rsidR="00081D63" w:rsidRPr="00300A9C" w:rsidRDefault="00081D63" w:rsidP="00726440"/>
        </w:tc>
        <w:tc>
          <w:tcPr>
            <w:tcW w:w="303" w:type="pct"/>
          </w:tcPr>
          <w:p w:rsidR="00081D63" w:rsidRPr="00300A9C" w:rsidRDefault="00081D63" w:rsidP="00726440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3" w:rsidRPr="00300A9C" w:rsidRDefault="00081D63" w:rsidP="0072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081D63" w:rsidRPr="00300A9C" w:rsidRDefault="00081D63" w:rsidP="00081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63" w:rsidRDefault="00081D63" w:rsidP="00081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1D63" w:rsidSect="004165D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DA" w:rsidRDefault="009023DA" w:rsidP="00613F6B">
      <w:pPr>
        <w:spacing w:after="0" w:line="240" w:lineRule="auto"/>
      </w:pPr>
      <w:r>
        <w:separator/>
      </w:r>
    </w:p>
  </w:endnote>
  <w:endnote w:type="continuationSeparator" w:id="0">
    <w:p w:rsidR="009023DA" w:rsidRDefault="009023DA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DA" w:rsidRDefault="009023DA" w:rsidP="00613F6B">
      <w:pPr>
        <w:spacing w:after="0" w:line="240" w:lineRule="auto"/>
      </w:pPr>
      <w:r>
        <w:separator/>
      </w:r>
    </w:p>
  </w:footnote>
  <w:footnote w:type="continuationSeparator" w:id="0">
    <w:p w:rsidR="009023DA" w:rsidRDefault="009023DA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3B69"/>
    <w:rsid w:val="0002318D"/>
    <w:rsid w:val="00027778"/>
    <w:rsid w:val="00027C0F"/>
    <w:rsid w:val="00060353"/>
    <w:rsid w:val="000618A0"/>
    <w:rsid w:val="00081D63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1AD2"/>
    <w:rsid w:val="001C7573"/>
    <w:rsid w:val="001D6C92"/>
    <w:rsid w:val="001E10A1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5698F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165DD"/>
    <w:rsid w:val="004215D2"/>
    <w:rsid w:val="0042542A"/>
    <w:rsid w:val="00427732"/>
    <w:rsid w:val="0044304D"/>
    <w:rsid w:val="004459B2"/>
    <w:rsid w:val="004713FC"/>
    <w:rsid w:val="004766BF"/>
    <w:rsid w:val="00477004"/>
    <w:rsid w:val="00481D1C"/>
    <w:rsid w:val="004864AF"/>
    <w:rsid w:val="00487C66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72FF5"/>
    <w:rsid w:val="00592095"/>
    <w:rsid w:val="005B039D"/>
    <w:rsid w:val="005B4734"/>
    <w:rsid w:val="005D0BE7"/>
    <w:rsid w:val="005D49F3"/>
    <w:rsid w:val="00611478"/>
    <w:rsid w:val="00613F6B"/>
    <w:rsid w:val="00615F1C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3DA"/>
    <w:rsid w:val="009029C3"/>
    <w:rsid w:val="009058E9"/>
    <w:rsid w:val="00910ACF"/>
    <w:rsid w:val="009115A4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E6167"/>
    <w:rsid w:val="009F00FB"/>
    <w:rsid w:val="009F5839"/>
    <w:rsid w:val="00A0384F"/>
    <w:rsid w:val="00A118AE"/>
    <w:rsid w:val="00A15EB8"/>
    <w:rsid w:val="00A168A2"/>
    <w:rsid w:val="00A16E32"/>
    <w:rsid w:val="00A234A3"/>
    <w:rsid w:val="00A321B2"/>
    <w:rsid w:val="00A373B6"/>
    <w:rsid w:val="00A60DC2"/>
    <w:rsid w:val="00A746B5"/>
    <w:rsid w:val="00A76DA4"/>
    <w:rsid w:val="00A77F19"/>
    <w:rsid w:val="00A80377"/>
    <w:rsid w:val="00A94AC6"/>
    <w:rsid w:val="00A9745A"/>
    <w:rsid w:val="00AA175A"/>
    <w:rsid w:val="00AB5CF0"/>
    <w:rsid w:val="00AC56E6"/>
    <w:rsid w:val="00AD21DC"/>
    <w:rsid w:val="00AD2FF5"/>
    <w:rsid w:val="00AD7D3A"/>
    <w:rsid w:val="00AF5AB1"/>
    <w:rsid w:val="00B161E6"/>
    <w:rsid w:val="00B25FE5"/>
    <w:rsid w:val="00B3188A"/>
    <w:rsid w:val="00B35BAC"/>
    <w:rsid w:val="00B60994"/>
    <w:rsid w:val="00B67767"/>
    <w:rsid w:val="00B72BE8"/>
    <w:rsid w:val="00B833B0"/>
    <w:rsid w:val="00B93C64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1697B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8AC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CE6328"/>
    <w:rsid w:val="00D008F0"/>
    <w:rsid w:val="00D01C6C"/>
    <w:rsid w:val="00D04561"/>
    <w:rsid w:val="00D107F8"/>
    <w:rsid w:val="00D111CC"/>
    <w:rsid w:val="00D13F3D"/>
    <w:rsid w:val="00D14AD0"/>
    <w:rsid w:val="00D21568"/>
    <w:rsid w:val="00D227B7"/>
    <w:rsid w:val="00D36573"/>
    <w:rsid w:val="00D44DD8"/>
    <w:rsid w:val="00D54EAF"/>
    <w:rsid w:val="00D715F9"/>
    <w:rsid w:val="00D80DDF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63E"/>
    <w:rsid w:val="00E44C1A"/>
    <w:rsid w:val="00E50F6E"/>
    <w:rsid w:val="00E65891"/>
    <w:rsid w:val="00E900CC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67673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595264-1419-4474-8557-4CBE1BE8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2025-09-15T05:50:00Z</cp:lastPrinted>
  <dcterms:created xsi:type="dcterms:W3CDTF">2025-09-18T09:17:00Z</dcterms:created>
  <dcterms:modified xsi:type="dcterms:W3CDTF">2025-09-19T11:19:00Z</dcterms:modified>
</cp:coreProperties>
</file>