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6A5ABF">
        <w:rPr>
          <w:rFonts w:ascii="Times New Roman" w:eastAsiaTheme="minorHAnsi" w:hAnsi="Times New Roman"/>
          <w:sz w:val="28"/>
          <w:u w:val="single"/>
          <w:lang w:eastAsia="en-US"/>
        </w:rPr>
        <w:t>835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571E7F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C0032B" w:rsidRPr="00571E7F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6A5ABF" w:rsidRDefault="006A5ABF" w:rsidP="006A5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5A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ликвидации муниципального учреждения </w:t>
      </w:r>
    </w:p>
    <w:p w:rsidR="00932089" w:rsidRDefault="006A5ABF" w:rsidP="006A5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5A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«Администрация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A5A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Воскресенского муниципального района»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Воскресенского муниципального района решил: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Ликвид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ировать муниципальное учреждение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«Администрация Воскресенского муниципального района Московской области» (ИНН 5005002378; КПП 500501001). 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</w:t>
      </w:r>
      <w:r w:rsidR="00571E7F"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Ликвидационную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комиссию муниципального учреждения «Администрация Воскресенского муниципального района Московской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области» и утвердить ее состав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. (Приложение 1.)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Положение о </w:t>
      </w:r>
      <w:r w:rsidR="00CF0063" w:rsidRPr="00CF006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Ликвидационной </w:t>
      </w:r>
      <w:r w:rsidRPr="00CF006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комиссии.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(Приложение 2.)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по ликвидации муниципального учреждения «Администрация Воскресенского муниципального района Московской области. (Приложени</w:t>
      </w:r>
      <w:r w:rsidR="0003730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 3.)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Pr="00CF0063"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ABF" w:rsidRPr="006A5ABF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Направить настоящее решение в Инспекцию Федеральной налоговой службы России по г. Воскресенску Московской области. </w:t>
      </w:r>
    </w:p>
    <w:p w:rsidR="006A5ABF" w:rsidRDefault="006A5ABF" w:rsidP="006A5ABF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D8" w:rsidRPr="00CF0063" w:rsidRDefault="006A5ABF" w:rsidP="006A5ABF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A5ABF">
        <w:rPr>
          <w:rFonts w:ascii="Times New Roman" w:eastAsia="Times New Roman" w:hAnsi="Times New Roman" w:cs="Times New Roman"/>
          <w:bCs/>
          <w:sz w:val="24"/>
          <w:szCs w:val="24"/>
        </w:rPr>
        <w:t xml:space="preserve">8.  Контроль за исполнением настоящего решения </w:t>
      </w:r>
      <w:r w:rsidRPr="00CF0063">
        <w:rPr>
          <w:rFonts w:ascii="Times New Roman" w:eastAsia="Times New Roman" w:hAnsi="Times New Roman" w:cs="Times New Roman"/>
          <w:bCs/>
          <w:sz w:val="24"/>
          <w:szCs w:val="24"/>
        </w:rPr>
        <w:t>возложить на председателя Совета депутатов Воскресенского муниципального района.</w:t>
      </w:r>
    </w:p>
    <w:p w:rsidR="00DB28FC" w:rsidRDefault="00DB28FC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A5ABF" w:rsidRDefault="006A5ABF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CF0063" w:rsidRDefault="006A5ABF" w:rsidP="006A5ABF">
      <w:pPr>
        <w:widowControl w:val="0"/>
        <w:autoSpaceDE w:val="0"/>
        <w:autoSpaceDN w:val="0"/>
        <w:adjustRightInd w:val="0"/>
        <w:spacing w:after="0"/>
        <w:ind w:left="453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F0063" w:rsidRDefault="00CF0063" w:rsidP="00CF0063">
      <w:pPr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      </w:t>
      </w:r>
    </w:p>
    <w:p w:rsidR="00CF0063" w:rsidRPr="00CF0063" w:rsidRDefault="00CF0063" w:rsidP="00CF0063">
      <w:pPr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       </w:t>
      </w:r>
    </w:p>
    <w:p w:rsidR="00CF0063" w:rsidRP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F0063" w:rsidRP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Воскресенского муниципального района</w:t>
      </w:r>
    </w:p>
    <w:p w:rsidR="00CF0063" w:rsidRP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13.09.2019</w:t>
      </w:r>
      <w:r w:rsidRPr="00CF006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835/97</w:t>
      </w:r>
    </w:p>
    <w:p w:rsidR="00CF0063" w:rsidRP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063" w:rsidRP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E7F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УЧРЕЖДЕНИЯ «АДМИНИСТРАЦИЯ ВОСКРЕСЕНСКОГО МУНИЦИПАЛЬНОГО РАЙОНА МОСКОВСКОЙ ОБЛАСТИ»</w:t>
      </w:r>
    </w:p>
    <w:p w:rsidR="00CF0063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Болотников Артур Викторович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 Ликвидационной комиссии: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Малкин Алексей Валерьевич;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Ирма </w:t>
      </w:r>
      <w:proofErr w:type="spellStart"/>
      <w:r w:rsidRPr="00613295">
        <w:rPr>
          <w:rFonts w:ascii="Times New Roman" w:eastAsia="Times New Roman" w:hAnsi="Times New Roman" w:cs="Times New Roman"/>
          <w:sz w:val="24"/>
          <w:szCs w:val="24"/>
        </w:rPr>
        <w:t>Тамазовна</w:t>
      </w:r>
      <w:proofErr w:type="spellEnd"/>
      <w:r w:rsidRPr="006132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Копченов Вячеслав Викторович;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Глебова Вероника Владимировна.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Секретарь Ликвидационной комиссии: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 xml:space="preserve"> - Самсонова Татьяна Ивановна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Сайкина Оксана Витальевна;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3295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Pr="00613295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="00571E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Соломатина Ольга Михайловна;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Уварова Елена Борисовна;</w:t>
      </w:r>
    </w:p>
    <w:p w:rsidR="00CF0063" w:rsidRPr="00613295" w:rsidRDefault="00CF0063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sz w:val="24"/>
          <w:szCs w:val="24"/>
        </w:rPr>
        <w:t>- Соломко Елена Владимировна;</w:t>
      </w:r>
    </w:p>
    <w:p w:rsidR="00CF0063" w:rsidRPr="00CF0063" w:rsidRDefault="00613295" w:rsidP="00CF006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Юрьевна.</w:t>
      </w:r>
    </w:p>
    <w:p w:rsidR="00CF0063" w:rsidRDefault="00CF0063" w:rsidP="00CF006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063" w:rsidRDefault="00CF0063" w:rsidP="00C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6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A5A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A5ABF" w:rsidRPr="006A5ABF" w:rsidRDefault="00CF0063" w:rsidP="00CF0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A5ABF" w:rsidRPr="006A5AB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            </w:t>
      </w:r>
    </w:p>
    <w:p w:rsidR="006A5ABF" w:rsidRPr="006A5ABF" w:rsidRDefault="006A5ABF" w:rsidP="00CF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A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A5AB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A5ABF" w:rsidRPr="006A5ABF" w:rsidRDefault="006A5ABF" w:rsidP="00CF00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A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ABF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6A5ABF" w:rsidRPr="006A5ABF" w:rsidRDefault="006A5ABF" w:rsidP="00CF006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A5A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13.09.2019 № 835/97</w:t>
      </w:r>
    </w:p>
    <w:p w:rsidR="006A5ABF" w:rsidRPr="006A5ABF" w:rsidRDefault="006A5ABF" w:rsidP="00CF00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ABF" w:rsidRPr="00613295" w:rsidRDefault="00613295" w:rsidP="00613295">
      <w:pPr>
        <w:widowControl w:val="0"/>
        <w:autoSpaceDE w:val="0"/>
        <w:autoSpaceDN w:val="0"/>
        <w:adjustRightInd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A5ABF" w:rsidRPr="00613295" w:rsidRDefault="00613295" w:rsidP="00613295">
      <w:pPr>
        <w:widowControl w:val="0"/>
        <w:autoSpaceDE w:val="0"/>
        <w:autoSpaceDN w:val="0"/>
        <w:adjustRightInd w:val="0"/>
        <w:spacing w:after="0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О ЛИКВИДАЦИОННОЙ КОМИССИИ МУНИЦИПАЛЬНОГО УЧРЕЖДЕНИЯ «АДМИНИСТРАЦИЯ ВОСКРЕСЕНСКОГО МУНИЦИПАЛЬНОГО РАЙОНА МОСКОВСКОЙ ОБЛАСТИ»</w:t>
      </w:r>
    </w:p>
    <w:p w:rsidR="006A5ABF" w:rsidRPr="006A5ABF" w:rsidRDefault="006A5ABF" w:rsidP="00613295">
      <w:pPr>
        <w:widowControl w:val="0"/>
        <w:autoSpaceDE w:val="0"/>
        <w:autoSpaceDN w:val="0"/>
        <w:adjustRightInd w:val="0"/>
        <w:spacing w:after="0"/>
        <w:ind w:right="-286"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B806E0" w:rsidRDefault="00B806E0" w:rsidP="006A5AB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A5AB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</w:t>
      </w:r>
      <w:r w:rsidR="00B806E0" w:rsidRPr="00571E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571E7F">
        <w:rPr>
          <w:rFonts w:ascii="Times New Roman" w:eastAsia="Times New Roman" w:hAnsi="Times New Roman" w:cs="Times New Roman"/>
          <w:sz w:val="24"/>
          <w:szCs w:val="24"/>
        </w:rPr>
        <w:t>учреждения «Администрация Воскресенского муниципального района Московской области» (далее – Ликвидационная комиссия), порядок созыва и проведения заседаний Ликвидационной комиссии,</w:t>
      </w:r>
      <w:r w:rsidRPr="006A5ABF">
        <w:rPr>
          <w:rFonts w:ascii="Times New Roman" w:eastAsia="Times New Roman" w:hAnsi="Times New Roman" w:cs="Times New Roman"/>
          <w:sz w:val="24"/>
          <w:szCs w:val="24"/>
        </w:rPr>
        <w:t xml:space="preserve"> порядок принятия и оформления решений Ликвидационной комиссии.</w:t>
      </w:r>
    </w:p>
    <w:p w:rsidR="006A5ABF" w:rsidRDefault="00CC6822" w:rsidP="00862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1.2. До формирования органов местного самоуправления </w:t>
      </w:r>
      <w:r w:rsidR="00B11F2A">
        <w:rPr>
          <w:rFonts w:ascii="Times New Roman" w:eastAsia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полномочия по решению вопросов местного значения Воскресенского муниципального района на соответствующей территории осуществляет администрация Воскресенского муниципального района</w:t>
      </w:r>
      <w:r w:rsidR="00862781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области, которая на день создания вновь образованного муниципального образования осуществля</w:t>
      </w:r>
      <w:r w:rsidR="00B11F2A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862781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по решению вопросов местного значения согласно Уставу Воскресенского муниципального района.</w:t>
      </w:r>
    </w:p>
    <w:p w:rsidR="00862781" w:rsidRPr="006A5ABF" w:rsidRDefault="00862781" w:rsidP="00862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муниципального учреждения «Администрация Воскресенского муниципального района Московской области» (далее – Администрация ВМР МО).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полномочия, связанные с поддержанием деятельности Администрации ВМР МО </w:t>
      </w:r>
      <w:r w:rsidR="00CC682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71E7F">
        <w:rPr>
          <w:rFonts w:ascii="Times New Roman" w:eastAsia="Times New Roman" w:hAnsi="Times New Roman" w:cs="Times New Roman"/>
          <w:sz w:val="24"/>
          <w:szCs w:val="24"/>
        </w:rPr>
        <w:t xml:space="preserve"> ее ликвидации.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Администрации ВМР МО как муниципального учреждения.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2.5. Ликвидационная комиссия от имени ликвидируемой Администрации ВМР МО выступает в суде</w:t>
      </w:r>
      <w:r w:rsidR="00CC6822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r w:rsidRPr="00571E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Администрации ВМР МО, о порядке и сроках для предъявления требований кредиторами.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Срок для предъявления требований кредиторами не может быть менее двух месяцев с даты опубликования сообщения о ликвидации Администрации ВМР МО.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 ВМР МО.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</w:t>
      </w:r>
      <w:r w:rsidRPr="00571E7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составе имущества Администрации ВМР МО, предъявленных кредиторами требованиях, а также результатах их рассмотрения.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3.4. Промежуточный ликвидационный баланс утверждается Советом депутатов городского округа Воскресенск.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3.5. Выплаты кредиторам ликвидируемой Администрации ВМР МО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Администрация ВМР МО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 ВМР МО.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ликвидируемой Администрации ВМР МО,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ВМР МО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Администрации ВМР МО.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Администрации ВМР МО, оставшегося после удовлетворения требований кредиторов, заявленных в срок.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ликвидируемой Администрации ВМР МО, считаются погашенными.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ликвидируемой Администрации ВМР МО передается в казну городского округа Воскресенск Московской области.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3.13. Ликвидация Администрации ВМР МО считается завершенной после внесения об этом записи в Единый государственный реестр юридических лиц, в порядке</w:t>
      </w:r>
      <w:r w:rsidR="00B675FE" w:rsidRPr="00571E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E7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Федеральным законом от 08.08.2001 №129-ФЗ «О государственной регистрации юридических лиц и индивидуальных предпринимателей».</w:t>
      </w:r>
    </w:p>
    <w:p w:rsidR="006A5ABF" w:rsidRPr="006A5ABF" w:rsidRDefault="006A5ABF" w:rsidP="006A5AB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lastRenderedPageBreak/>
        <w:t>4.3. Все заседания Ликвидационной комиссии проводятся в очной форме.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6A5ABF" w:rsidRPr="00571E7F" w:rsidRDefault="006A5ABF" w:rsidP="00571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F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613295" w:rsidRDefault="00613295" w:rsidP="006A5AB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95" w:rsidRDefault="00613295" w:rsidP="00613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295" w:rsidRDefault="00613295" w:rsidP="0061329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295" w:rsidRDefault="00613295" w:rsidP="006132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ABF" w:rsidRPr="00613295" w:rsidRDefault="006A5ABF" w:rsidP="00613295">
      <w:pPr>
        <w:rPr>
          <w:rFonts w:ascii="Times New Roman" w:eastAsia="Times New Roman" w:hAnsi="Times New Roman" w:cs="Times New Roman"/>
          <w:sz w:val="24"/>
          <w:szCs w:val="24"/>
        </w:rPr>
        <w:sectPr w:rsidR="006A5ABF" w:rsidRPr="00613295" w:rsidSect="00CF0063">
          <w:footerReference w:type="default" r:id="rId8"/>
          <w:pgSz w:w="11906" w:h="16838"/>
          <w:pgMar w:top="426" w:right="851" w:bottom="709" w:left="993" w:header="709" w:footer="709" w:gutter="0"/>
          <w:cols w:space="708"/>
          <w:titlePg/>
          <w:docGrid w:linePitch="360"/>
        </w:sectPr>
      </w:pPr>
    </w:p>
    <w:p w:rsidR="00B675FE" w:rsidRPr="00B675FE" w:rsidRDefault="00B675FE" w:rsidP="00571E7F">
      <w:pPr>
        <w:widowControl w:val="0"/>
        <w:autoSpaceDE w:val="0"/>
        <w:autoSpaceDN w:val="0"/>
        <w:adjustRightInd w:val="0"/>
        <w:spacing w:after="0" w:line="240" w:lineRule="auto"/>
        <w:ind w:left="4536" w:right="391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675FE">
        <w:rPr>
          <w:rFonts w:ascii="Times New Roman" w:eastAsia="Times New Roman" w:hAnsi="Times New Roman" w:cs="Times New Roman"/>
          <w:sz w:val="24"/>
          <w:szCs w:val="24"/>
        </w:rPr>
        <w:t xml:space="preserve">Приложение 3             </w:t>
      </w:r>
    </w:p>
    <w:p w:rsidR="00B675FE" w:rsidRPr="00B675FE" w:rsidRDefault="00B675FE" w:rsidP="00571E7F">
      <w:pPr>
        <w:widowControl w:val="0"/>
        <w:autoSpaceDE w:val="0"/>
        <w:autoSpaceDN w:val="0"/>
        <w:adjustRightInd w:val="0"/>
        <w:spacing w:after="0" w:line="240" w:lineRule="auto"/>
        <w:ind w:right="3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5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675F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675FE" w:rsidRPr="00B675FE" w:rsidRDefault="00B675FE" w:rsidP="00571E7F">
      <w:pPr>
        <w:widowControl w:val="0"/>
        <w:autoSpaceDE w:val="0"/>
        <w:autoSpaceDN w:val="0"/>
        <w:adjustRightInd w:val="0"/>
        <w:spacing w:after="0" w:line="240" w:lineRule="auto"/>
        <w:ind w:right="3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5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675F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B675FE" w:rsidRDefault="00B675FE" w:rsidP="00571E7F">
      <w:pPr>
        <w:widowControl w:val="0"/>
        <w:autoSpaceDE w:val="0"/>
        <w:autoSpaceDN w:val="0"/>
        <w:adjustRightInd w:val="0"/>
        <w:spacing w:after="0" w:line="240" w:lineRule="auto"/>
        <w:ind w:left="4820" w:right="3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5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75FE">
        <w:rPr>
          <w:rFonts w:ascii="Times New Roman" w:eastAsia="Times New Roman" w:hAnsi="Times New Roman" w:cs="Times New Roman"/>
          <w:sz w:val="24"/>
          <w:szCs w:val="24"/>
        </w:rPr>
        <w:t>от 13.09.2019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835/97</w:t>
      </w:r>
    </w:p>
    <w:p w:rsidR="00B675FE" w:rsidRPr="00B675FE" w:rsidRDefault="00B675FE" w:rsidP="00B675FE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E7F" w:rsidRDefault="00B675FE" w:rsidP="00613295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6132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3295" w:rsidRDefault="00613295" w:rsidP="00613295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ЛИКВИДАЦИИ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:rsidR="00B675FE" w:rsidRPr="00613295" w:rsidRDefault="00613295" w:rsidP="00613295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29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ОРЯДОК И СРОКИ ИХ ОСУЩЕСТВЛЕНИЯ</w:t>
      </w:r>
    </w:p>
    <w:p w:rsidR="00B675FE" w:rsidRPr="00B675FE" w:rsidRDefault="00B675FE" w:rsidP="00B675F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199"/>
        <w:gridCol w:w="2978"/>
        <w:gridCol w:w="2127"/>
        <w:gridCol w:w="3542"/>
      </w:tblGrid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61329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75FE" w:rsidRPr="00B675FE" w:rsidTr="00B675FE">
        <w:trPr>
          <w:trHeight w:val="1366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в </w:t>
            </w:r>
            <w:r w:rsidRPr="00B67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  Администрации ВМР МО и создании соответствующей ликвидационной комиссии.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B675FE" w:rsidRPr="00B675FE" w:rsidTr="00B675FE">
        <w:trPr>
          <w:trHeight w:val="1481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  Администрации ВМР МО и о порядке и сроке заявления требований ее кредиторами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представления сообщения об этом в</w:t>
            </w:r>
            <w:r w:rsidRPr="00B67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Инспекцию </w:t>
            </w:r>
            <w:proofErr w:type="spellStart"/>
            <w:r w:rsidRPr="00B67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</w:t>
            </w:r>
            <w:proofErr w:type="spellEnd"/>
            <w:r w:rsidRPr="00B67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налоговой службы России по г. Воскресенску Московской области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</w:tc>
      </w:tr>
      <w:tr w:rsidR="00B675FE" w:rsidRPr="00B675FE" w:rsidTr="00B675FE">
        <w:trPr>
          <w:trHeight w:val="849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pct"/>
            <w:shd w:val="clear" w:color="auto" w:fill="auto"/>
          </w:tcPr>
          <w:p w:rsidR="00B675FE" w:rsidRPr="00B675FE" w:rsidRDefault="00845801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675FE" w:rsidRPr="00B6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</w:t>
            </w:r>
            <w:r w:rsidR="00B675FE" w:rsidRPr="00CF00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Государственное казенное учреждение </w:t>
            </w:r>
            <w:r w:rsidR="00B675FE" w:rsidRPr="00B675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Московской области Воскресенский центр занятости населения</w:t>
            </w:r>
            <w:r w:rsidR="00B675FE" w:rsidRPr="00B6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="00B675FE"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ВМР МО</w:t>
            </w:r>
            <w:r w:rsidR="00B675FE" w:rsidRPr="00B675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B6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Уведомление профсоюзной организации о принятом решении о ликвидации 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ВМР МО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чем за 3 месяца до даты расторжения т</w:t>
            </w:r>
            <w:r w:rsidR="0084580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рудовых договоров с работниками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B675FE" w:rsidRPr="00B675FE" w:rsidRDefault="00845801" w:rsidP="0084580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B675FE" w:rsidRPr="00B675FE" w:rsidRDefault="00B675FE" w:rsidP="00B67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п.2 ст. 25 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B675FE" w:rsidRPr="00B675FE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75FE" w:rsidRPr="00B675FE" w:rsidRDefault="00B675FE" w:rsidP="0051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2 ст. 12 Федерального закона от 12.01.1996 № 10-ФЗ, ст.82 ТК РФ</w:t>
            </w:r>
          </w:p>
        </w:tc>
      </w:tr>
      <w:tr w:rsidR="00B675FE" w:rsidRPr="00B675FE" w:rsidTr="00B675FE">
        <w:trPr>
          <w:trHeight w:val="1402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Администрации ВМР МО под роспись, уведомлений о 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предстоящем увольнении в связи с ликвидацией 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ВМР МО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</w:t>
            </w:r>
          </w:p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до даты увольнения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орган, обслуживающий лицевой счет   Администрации ВМР МО заявления о прекращении списания средств со счета Администрации ВМР МО без согласия ликвидационной комиссии.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территориального органа ГУ УПФР № 22 по г. Москве и Московской области о том, что   Администрация ВМР МО находится в процессе ликвидации.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ВМР МО находится в процессе ликвидации</w:t>
            </w:r>
            <w:r w:rsidR="00845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имущества и обязательств   Администрации ВМР МО</w:t>
            </w:r>
            <w:r w:rsidR="008458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составления ликвидационного баланса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B675FE" w:rsidRPr="00B675FE" w:rsidTr="00B675FE">
        <w:trPr>
          <w:trHeight w:val="169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Администрации ВМР МО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месяца с момента принятия решения о ликвидации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B675FE" w:rsidRPr="00B675FE" w:rsidRDefault="007F3776" w:rsidP="00B67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675FE" w:rsidRPr="00B675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B675FE"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rPr>
          <w:trHeight w:val="32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10.</w:t>
            </w:r>
          </w:p>
        </w:tc>
        <w:tc>
          <w:tcPr>
            <w:tcW w:w="3625" w:type="pct"/>
            <w:gridSpan w:val="3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75FE" w:rsidRPr="00B675FE" w:rsidTr="00B675FE">
        <w:trPr>
          <w:trHeight w:val="52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</w:t>
            </w:r>
            <w:r w:rsidR="00E31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0063" w:rsidRPr="00CF0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требований кредиторов, поступивших</w:t>
            </w:r>
            <w:r w:rsidRPr="00CF0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срок, указанн</w:t>
            </w:r>
            <w:r w:rsidR="00845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 в информационном сообщении.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8458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CF0063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B675FE"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B675FE" w:rsidRPr="00B675FE" w:rsidTr="00B675FE">
        <w:trPr>
          <w:trHeight w:val="27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B675FE" w:rsidRPr="00B675FE" w:rsidTr="00B675FE">
        <w:trPr>
          <w:trHeight w:val="34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сумм кредиторам Администрации ВМР МО в порядке очередности</w:t>
            </w:r>
            <w:r w:rsidR="00517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B675FE" w:rsidRPr="00B675FE" w:rsidTr="00B675FE">
        <w:trPr>
          <w:trHeight w:val="58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25" w:type="pct"/>
            <w:gridSpan w:val="3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517042">
        <w:trPr>
          <w:trHeight w:val="988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имущества</w:t>
            </w:r>
            <w:r w:rsidR="005170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ВМР МО</w:t>
            </w: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оставшееся после удовлетворения требований кредиторов в казну городского округа Воскресенск.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rPr>
          <w:trHeight w:val="34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B675FE" w:rsidRPr="00B675FE" w:rsidTr="00B675FE">
        <w:trPr>
          <w:trHeight w:val="1635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заключенных Администрацией ВМР МО договоров (соглашений, муниципальных контрактов), подлежащих исполнению в 2020 году и последующих годах в Администрацию городского округа Воскресенск (при наличии)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rPr>
          <w:trHeight w:val="2030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Администрации ВМР МО 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B675F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5 рабочих дней после утверждения ликвидационного баланса</w:t>
            </w:r>
          </w:p>
          <w:p w:rsidR="00B675FE" w:rsidRPr="00B675FE" w:rsidRDefault="00B675FE" w:rsidP="0051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8, ст.21, 22 ФЗ № 129 «О государственной регистрации юридических лиц и индивидуальных предпринимателей»</w:t>
            </w: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  Администрации ВМР МО заявления о закрытии счета</w:t>
            </w:r>
          </w:p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3-дневный срок после получения выписки из </w:t>
            </w:r>
            <w:r w:rsidRPr="00B675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Инспекции Федеральной налоговой службы России по г. Воскресенску Московской области</w:t>
            </w: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прекращении органов местного самоуправления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B675FE" w:rsidRPr="00B675FE" w:rsidTr="00517042">
        <w:trPr>
          <w:trHeight w:val="708"/>
        </w:trPr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13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5FE" w:rsidRPr="00B675FE" w:rsidTr="00B675FE">
        <w:tc>
          <w:tcPr>
            <w:tcW w:w="23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613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8" w:type="pct"/>
            <w:shd w:val="clear" w:color="auto" w:fill="auto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955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682" w:type="pct"/>
            <w:shd w:val="clear" w:color="auto" w:fill="auto"/>
          </w:tcPr>
          <w:p w:rsidR="00B675FE" w:rsidRPr="00B675FE" w:rsidRDefault="00B675FE" w:rsidP="00517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36" w:type="pct"/>
          </w:tcPr>
          <w:p w:rsidR="00B675FE" w:rsidRPr="00B675FE" w:rsidRDefault="00B675FE" w:rsidP="00B675FE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FE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6A5ABF" w:rsidRPr="00E74069" w:rsidRDefault="006A5ABF" w:rsidP="00517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A5ABF" w:rsidRPr="00E74069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76" w:rsidRDefault="007F3776">
      <w:pPr>
        <w:spacing w:after="0" w:line="240" w:lineRule="auto"/>
      </w:pPr>
      <w:r>
        <w:separator/>
      </w:r>
    </w:p>
  </w:endnote>
  <w:endnote w:type="continuationSeparator" w:id="0">
    <w:p w:rsidR="007F3776" w:rsidRDefault="007F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7F3776">
    <w:pPr>
      <w:pStyle w:val="ad"/>
      <w:jc w:val="right"/>
    </w:pPr>
  </w:p>
  <w:p w:rsidR="00C35E49" w:rsidRDefault="007F37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76" w:rsidRDefault="007F3776">
      <w:pPr>
        <w:spacing w:after="0" w:line="240" w:lineRule="auto"/>
      </w:pPr>
      <w:r>
        <w:separator/>
      </w:r>
    </w:p>
  </w:footnote>
  <w:footnote w:type="continuationSeparator" w:id="0">
    <w:p w:rsidR="007F3776" w:rsidRDefault="007F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04AEC"/>
    <w:rsid w:val="0003730F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172E4"/>
    <w:rsid w:val="0032390A"/>
    <w:rsid w:val="00327EAC"/>
    <w:rsid w:val="00373BEC"/>
    <w:rsid w:val="003950F4"/>
    <w:rsid w:val="003A1A6C"/>
    <w:rsid w:val="003A1CEF"/>
    <w:rsid w:val="003A29BF"/>
    <w:rsid w:val="003A30A2"/>
    <w:rsid w:val="003A4F4F"/>
    <w:rsid w:val="003D0B1B"/>
    <w:rsid w:val="003E1710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17042"/>
    <w:rsid w:val="00523A17"/>
    <w:rsid w:val="00530CFE"/>
    <w:rsid w:val="00552A17"/>
    <w:rsid w:val="00556993"/>
    <w:rsid w:val="00571E7F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13295"/>
    <w:rsid w:val="00636A44"/>
    <w:rsid w:val="00642062"/>
    <w:rsid w:val="006808BE"/>
    <w:rsid w:val="0069495D"/>
    <w:rsid w:val="006A0BD1"/>
    <w:rsid w:val="006A5ABF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C5C32"/>
    <w:rsid w:val="007D575A"/>
    <w:rsid w:val="007F01D7"/>
    <w:rsid w:val="007F3776"/>
    <w:rsid w:val="0081501C"/>
    <w:rsid w:val="00822577"/>
    <w:rsid w:val="0083241E"/>
    <w:rsid w:val="00836D7E"/>
    <w:rsid w:val="00845801"/>
    <w:rsid w:val="00862781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11F2A"/>
    <w:rsid w:val="00B24FC6"/>
    <w:rsid w:val="00B336E6"/>
    <w:rsid w:val="00B33B66"/>
    <w:rsid w:val="00B675FE"/>
    <w:rsid w:val="00B73B99"/>
    <w:rsid w:val="00B806E0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56797"/>
    <w:rsid w:val="00C7072A"/>
    <w:rsid w:val="00C72009"/>
    <w:rsid w:val="00C822A7"/>
    <w:rsid w:val="00C90438"/>
    <w:rsid w:val="00CB372C"/>
    <w:rsid w:val="00CB51C9"/>
    <w:rsid w:val="00CC6822"/>
    <w:rsid w:val="00CF0063"/>
    <w:rsid w:val="00CF65C2"/>
    <w:rsid w:val="00D14D98"/>
    <w:rsid w:val="00D15A92"/>
    <w:rsid w:val="00D60FD4"/>
    <w:rsid w:val="00D64877"/>
    <w:rsid w:val="00D648BD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31318"/>
    <w:rsid w:val="00E41341"/>
    <w:rsid w:val="00E43571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B3D98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A5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5AB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61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3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32</cp:revision>
  <cp:lastPrinted>2019-09-16T09:18:00Z</cp:lastPrinted>
  <dcterms:created xsi:type="dcterms:W3CDTF">2019-06-03T07:08:00Z</dcterms:created>
  <dcterms:modified xsi:type="dcterms:W3CDTF">2019-09-16T09:46:00Z</dcterms:modified>
</cp:coreProperties>
</file>