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1E" w:rsidRPr="00CB53FF" w:rsidRDefault="005A261E" w:rsidP="000028F3">
      <w:pPr>
        <w:ind w:left="4248" w:right="-143"/>
        <w:jc w:val="right"/>
      </w:pPr>
      <w:bookmarkStart w:id="0" w:name="_GoBack"/>
      <w:bookmarkEnd w:id="0"/>
      <w:r w:rsidRPr="00CB53FF">
        <w:t>Приложение №</w:t>
      </w:r>
      <w:r w:rsidR="00DB462B" w:rsidRPr="00122100">
        <w:t>8</w:t>
      </w:r>
    </w:p>
    <w:p w:rsidR="00054159" w:rsidRDefault="005A261E" w:rsidP="000028F3">
      <w:pPr>
        <w:ind w:right="-143"/>
        <w:jc w:val="right"/>
      </w:pPr>
      <w:r w:rsidRPr="00CB53FF">
        <w:t xml:space="preserve"> </w:t>
      </w:r>
      <w:r w:rsidRPr="00CB53FF">
        <w:tab/>
      </w:r>
      <w:r w:rsidRPr="00CB53FF">
        <w:tab/>
        <w:t xml:space="preserve">        к Единой учетной политике</w:t>
      </w:r>
      <w:r w:rsidRPr="00CB53FF">
        <w:rPr>
          <w:bCs/>
        </w:rPr>
        <w:t xml:space="preserve"> для целей бюджетного (бухгалтерского) учета применяемой муниципальным казенным учреждением городского округа Воскресенск Московской области «Централизованная бухгалтерия»</w:t>
      </w:r>
      <w:r w:rsidR="00375C58">
        <w:rPr>
          <w:bCs/>
        </w:rPr>
        <w:t>,</w:t>
      </w:r>
      <w:r w:rsidR="00054159" w:rsidRPr="00054159">
        <w:rPr>
          <w:bCs/>
        </w:rPr>
        <w:t xml:space="preserve"> </w:t>
      </w:r>
    </w:p>
    <w:p w:rsidR="005030B7" w:rsidRDefault="00054159" w:rsidP="005030B7">
      <w:pPr>
        <w:ind w:left="4248"/>
        <w:jc w:val="right"/>
      </w:pPr>
      <w:r>
        <w:t xml:space="preserve"> утвержденной </w:t>
      </w:r>
      <w:r w:rsidRPr="005030B7">
        <w:t xml:space="preserve">приказом </w:t>
      </w:r>
      <w:r w:rsidR="005030B7" w:rsidRPr="005030B7">
        <w:t>от 29.12.2023 №366</w:t>
      </w:r>
    </w:p>
    <w:p w:rsidR="00B350BE" w:rsidRPr="00934F7D" w:rsidRDefault="00411B52" w:rsidP="000028F3">
      <w:pPr>
        <w:ind w:right="-143"/>
        <w:jc w:val="both"/>
        <w:rPr>
          <w:sz w:val="26"/>
          <w:szCs w:val="26"/>
        </w:rPr>
      </w:pPr>
      <w:r w:rsidRPr="009A546D">
        <w:rPr>
          <w:sz w:val="28"/>
          <w:szCs w:val="28"/>
        </w:rPr>
        <w:t xml:space="preserve">                                                                                       </w:t>
      </w:r>
      <w:r w:rsidR="00B350BE" w:rsidRPr="00934F7D">
        <w:rPr>
          <w:sz w:val="26"/>
          <w:szCs w:val="26"/>
        </w:rPr>
        <w:t xml:space="preserve">                            </w:t>
      </w:r>
    </w:p>
    <w:p w:rsidR="00B63D46" w:rsidRDefault="00B350BE" w:rsidP="000028F3">
      <w:pPr>
        <w:ind w:right="-143"/>
        <w:jc w:val="center"/>
        <w:rPr>
          <w:b/>
        </w:rPr>
      </w:pPr>
      <w:r w:rsidRPr="00DE478A">
        <w:rPr>
          <w:b/>
        </w:rPr>
        <w:t xml:space="preserve">Положение </w:t>
      </w:r>
      <w:r w:rsidR="002D7243">
        <w:rPr>
          <w:b/>
        </w:rPr>
        <w:t xml:space="preserve">о </w:t>
      </w:r>
      <w:r w:rsidRPr="00DE478A">
        <w:rPr>
          <w:b/>
        </w:rPr>
        <w:t xml:space="preserve">комиссии по поступлению и выбытию </w:t>
      </w:r>
      <w:r w:rsidR="009A546D" w:rsidRPr="00DE478A">
        <w:rPr>
          <w:b/>
        </w:rPr>
        <w:t>а</w:t>
      </w:r>
      <w:r w:rsidRPr="00DE478A">
        <w:rPr>
          <w:b/>
        </w:rPr>
        <w:t>ктивов</w:t>
      </w:r>
    </w:p>
    <w:p w:rsidR="00B63D46" w:rsidRDefault="00B63D46" w:rsidP="000028F3">
      <w:pPr>
        <w:ind w:right="-143"/>
        <w:jc w:val="center"/>
        <w:rPr>
          <w:b/>
        </w:rPr>
      </w:pPr>
    </w:p>
    <w:p w:rsidR="00B350BE" w:rsidRPr="00DE478A" w:rsidRDefault="00B350BE" w:rsidP="000028F3">
      <w:pPr>
        <w:ind w:right="-143"/>
        <w:jc w:val="center"/>
        <w:rPr>
          <w:b/>
        </w:rPr>
      </w:pPr>
      <w:r w:rsidRPr="00DE478A">
        <w:rPr>
          <w:b/>
        </w:rPr>
        <w:t>1. Общие положения</w:t>
      </w:r>
    </w:p>
    <w:p w:rsidR="00B350BE" w:rsidRPr="00DE478A" w:rsidRDefault="00B350BE" w:rsidP="000028F3">
      <w:pPr>
        <w:ind w:right="-143"/>
        <w:jc w:val="both"/>
      </w:pPr>
    </w:p>
    <w:p w:rsidR="00200CD6" w:rsidRDefault="00B63D46" w:rsidP="00B63D46">
      <w:pPr>
        <w:ind w:right="-143" w:firstLine="567"/>
        <w:jc w:val="both"/>
      </w:pPr>
      <w:r>
        <w:t xml:space="preserve">1.1. </w:t>
      </w:r>
      <w:r w:rsidRPr="0036056C">
        <w:t>Положение о комиссии</w:t>
      </w:r>
      <w:r w:rsidRPr="0018368C">
        <w:rPr>
          <w:b/>
        </w:rPr>
        <w:t xml:space="preserve"> </w:t>
      </w:r>
      <w:r w:rsidRPr="00B63D46">
        <w:t>по поступлению и выбытию активов</w:t>
      </w:r>
      <w:r>
        <w:t xml:space="preserve"> определяет порядок </w:t>
      </w:r>
      <w:r w:rsidR="00200CD6">
        <w:t>работы комиссии по поступлению и выбытию активов.</w:t>
      </w:r>
    </w:p>
    <w:p w:rsidR="00200CD6" w:rsidRDefault="00200CD6" w:rsidP="00B63D46">
      <w:pPr>
        <w:ind w:right="-143" w:firstLine="567"/>
        <w:jc w:val="both"/>
      </w:pPr>
      <w:r>
        <w:t>1.2. Комиссия по поступлению и выбытию активов</w:t>
      </w:r>
      <w:r w:rsidR="008B2783">
        <w:t xml:space="preserve"> (далее – Комиссия)</w:t>
      </w:r>
      <w:r>
        <w:t xml:space="preserve"> принимает </w:t>
      </w:r>
      <w:r w:rsidR="00B63D46">
        <w:t>решени</w:t>
      </w:r>
      <w:r>
        <w:t>я:</w:t>
      </w:r>
    </w:p>
    <w:p w:rsidR="00663FA6" w:rsidRDefault="00663FA6" w:rsidP="00663FA6">
      <w:pPr>
        <w:ind w:left="-426" w:firstLine="142"/>
        <w:jc w:val="both"/>
      </w:pPr>
      <w:r>
        <w:t xml:space="preserve">          </w:t>
      </w:r>
      <w:r w:rsidRPr="00663FA6">
        <w:t xml:space="preserve">    </w:t>
      </w:r>
      <w:r>
        <w:t>по поступлению и выбытию (списанию) активов;</w:t>
      </w:r>
    </w:p>
    <w:p w:rsidR="00663FA6" w:rsidRDefault="00663FA6" w:rsidP="00663FA6">
      <w:pPr>
        <w:ind w:left="-426" w:firstLine="142"/>
        <w:jc w:val="both"/>
      </w:pPr>
      <w:r w:rsidRPr="00663FA6">
        <w:t xml:space="preserve">             </w:t>
      </w:r>
      <w:r>
        <w:t xml:space="preserve"> о списании </w:t>
      </w:r>
      <w:r w:rsidR="00B648E7">
        <w:t xml:space="preserve">сомнительной и безнадежной </w:t>
      </w:r>
      <w:r>
        <w:t>де</w:t>
      </w:r>
      <w:r w:rsidRPr="00625529">
        <w:t>биторской задолженности</w:t>
      </w:r>
      <w:r w:rsidR="005F2AFE">
        <w:t>;</w:t>
      </w:r>
    </w:p>
    <w:p w:rsidR="005F2AFE" w:rsidRDefault="005F2AFE" w:rsidP="00663FA6">
      <w:pPr>
        <w:ind w:left="-426" w:firstLine="142"/>
        <w:jc w:val="both"/>
      </w:pPr>
      <w:r>
        <w:t xml:space="preserve">              о списании начисленной и неуплаченной суммы неустойки (штрафов, пеней)</w:t>
      </w:r>
      <w:r w:rsidR="002D7243">
        <w:t>.</w:t>
      </w:r>
    </w:p>
    <w:p w:rsidR="000C2607" w:rsidRPr="000C2607" w:rsidRDefault="000C2607" w:rsidP="000C2607">
      <w:pPr>
        <w:ind w:firstLine="142"/>
        <w:jc w:val="both"/>
      </w:pPr>
      <w:r w:rsidRPr="000C2607">
        <w:t xml:space="preserve">      1</w:t>
      </w:r>
      <w:r>
        <w:t xml:space="preserve">.3. По решению руководителя учреждения или организации на комиссию по </w:t>
      </w:r>
      <w:r w:rsidRPr="00B63D46">
        <w:t>поступлению и выбытию активов</w:t>
      </w:r>
      <w:r>
        <w:t xml:space="preserve"> могут возлагаться полномочия по проведению инвентаризации. </w:t>
      </w:r>
    </w:p>
    <w:p w:rsidR="0018368C" w:rsidRDefault="00663FA6" w:rsidP="00B648E7">
      <w:pPr>
        <w:ind w:right="-143" w:hanging="284"/>
        <w:jc w:val="both"/>
      </w:pPr>
      <w:r>
        <w:t xml:space="preserve">          </w:t>
      </w:r>
      <w:r w:rsidRPr="00663FA6">
        <w:t xml:space="preserve">   </w:t>
      </w:r>
      <w:r>
        <w:t xml:space="preserve"> </w:t>
      </w:r>
      <w:r w:rsidR="0018368C">
        <w:t>1.</w:t>
      </w:r>
      <w:r w:rsidR="000C2607">
        <w:t>4</w:t>
      </w:r>
      <w:r w:rsidR="0018368C">
        <w:t xml:space="preserve">. </w:t>
      </w:r>
      <w:r w:rsidR="0086525E" w:rsidRPr="0036056C">
        <w:t>Настоящее Положение</w:t>
      </w:r>
      <w:r w:rsidR="0036056C" w:rsidRPr="0036056C">
        <w:t xml:space="preserve"> о комиссии</w:t>
      </w:r>
      <w:r w:rsidR="0036056C" w:rsidRPr="0018368C">
        <w:rPr>
          <w:b/>
        </w:rPr>
        <w:t xml:space="preserve"> </w:t>
      </w:r>
      <w:r w:rsidR="0036056C" w:rsidRPr="00B63D46">
        <w:t>по поступле</w:t>
      </w:r>
      <w:r w:rsidR="00EC50DA" w:rsidRPr="00B63D46">
        <w:t>нию и выбытию активов</w:t>
      </w:r>
      <w:r w:rsidR="0036056C" w:rsidRPr="0018368C">
        <w:rPr>
          <w:b/>
        </w:rPr>
        <w:t xml:space="preserve"> </w:t>
      </w:r>
      <w:r w:rsidR="0086525E" w:rsidRPr="0036056C">
        <w:t xml:space="preserve">разработано в </w:t>
      </w:r>
      <w:r>
        <w:t xml:space="preserve">   </w:t>
      </w:r>
      <w:r w:rsidR="0086525E" w:rsidRPr="0036056C">
        <w:t>соответствии с</w:t>
      </w:r>
      <w:r w:rsidR="0018368C">
        <w:t>:</w:t>
      </w:r>
    </w:p>
    <w:p w:rsidR="005F2AFE" w:rsidRDefault="005F2AFE" w:rsidP="00592036">
      <w:pPr>
        <w:ind w:right="-143" w:firstLine="284"/>
        <w:jc w:val="both"/>
      </w:pPr>
      <w:r>
        <w:t xml:space="preserve">  Постановлением Правительства Российской Федерации от 04.07.2018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контрактом)</w:t>
      </w:r>
      <w:r w:rsidR="00B34B18">
        <w:t>»</w:t>
      </w:r>
      <w:r>
        <w:t>;</w:t>
      </w:r>
      <w:r>
        <w:tab/>
      </w:r>
      <w:r w:rsidR="009C2083">
        <w:t xml:space="preserve">    </w:t>
      </w:r>
    </w:p>
    <w:p w:rsidR="00B63D46" w:rsidRDefault="005F2AFE" w:rsidP="00592036">
      <w:pPr>
        <w:ind w:right="-143" w:firstLine="284"/>
        <w:jc w:val="both"/>
      </w:pPr>
      <w:r>
        <w:t xml:space="preserve">  </w:t>
      </w:r>
      <w:r w:rsidR="00B63D46">
        <w:t>п</w:t>
      </w:r>
      <w:r w:rsidR="00B63D46" w:rsidRPr="00B63D46">
        <w:t>риказом Минфина России от 01.12.2010 N 157н</w:t>
      </w:r>
      <w:r w:rsidR="00B63D46" w:rsidRPr="00B63D46">
        <w:rPr>
          <w:rFonts w:eastAsiaTheme="minorHAnsi"/>
          <w:sz w:val="22"/>
          <w:szCs w:val="22"/>
          <w:lang w:eastAsia="en-US"/>
        </w:rPr>
        <w:t xml:space="preserve"> </w:t>
      </w:r>
      <w:r w:rsidR="00B63D46">
        <w:rPr>
          <w:rFonts w:eastAsiaTheme="minorHAnsi"/>
          <w:sz w:val="22"/>
          <w:szCs w:val="22"/>
          <w:lang w:eastAsia="en-US"/>
        </w:rPr>
        <w:t xml:space="preserve">Приказ Минфина России от 01.12.2010 N 157н </w:t>
      </w:r>
      <w:hyperlink r:id="rId6" w:history="1">
        <w:r w:rsidR="00B63D46">
          <w:rPr>
            <w:rFonts w:eastAsiaTheme="minorHAnsi"/>
            <w:lang w:eastAsia="en-US"/>
          </w:rPr>
          <w:t>«</w:t>
        </w:r>
        <w:r w:rsidR="00B63D46" w:rsidRPr="00B63D46">
          <w:rPr>
            <w:rFonts w:eastAsiaTheme="minorHAnsi"/>
            <w:lang w:eastAsia="en-US"/>
          </w:rPr>
  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 w:rsidR="00B63D46">
        <w:rPr>
          <w:rFonts w:eastAsiaTheme="minorHAnsi"/>
          <w:lang w:eastAsia="en-US"/>
        </w:rPr>
        <w:t>»</w:t>
      </w:r>
      <w:r w:rsidR="00592036">
        <w:rPr>
          <w:rFonts w:eastAsiaTheme="minorHAnsi"/>
          <w:lang w:eastAsia="en-US"/>
        </w:rPr>
        <w:t xml:space="preserve"> с изменениями и дополнениями </w:t>
      </w:r>
      <w:r w:rsidR="00592036" w:rsidRPr="0036056C">
        <w:t>(далее - Инструкция N 157н)</w:t>
      </w:r>
      <w:r w:rsidR="00592036">
        <w:t>;</w:t>
      </w:r>
    </w:p>
    <w:p w:rsidR="00830DB6" w:rsidRPr="00CA6402" w:rsidRDefault="00830DB6" w:rsidP="00830DB6">
      <w:pPr>
        <w:ind w:right="-143" w:firstLine="284"/>
        <w:jc w:val="both"/>
        <w:rPr>
          <w:rFonts w:eastAsiaTheme="minorHAnsi"/>
          <w:lang w:eastAsia="en-US"/>
        </w:rPr>
      </w:pPr>
      <w:r>
        <w:t xml:space="preserve">    приказом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CA6402" w:rsidRPr="00CA6402" w:rsidRDefault="00CA6402" w:rsidP="00592036">
      <w:pPr>
        <w:ind w:right="-143" w:firstLine="284"/>
        <w:jc w:val="both"/>
        <w:rPr>
          <w:rFonts w:eastAsiaTheme="minorHAnsi"/>
          <w:lang w:eastAsia="en-US"/>
        </w:rPr>
      </w:pPr>
      <w:r w:rsidRPr="00CA6402">
        <w:t xml:space="preserve">   </w:t>
      </w:r>
      <w:r>
        <w:t>приказом Минфина России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 w:rsidR="0018368C" w:rsidRPr="000A218C" w:rsidRDefault="00B63D46" w:rsidP="000028F3">
      <w:pPr>
        <w:pStyle w:val="ConsPlusNormal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D8D">
        <w:rPr>
          <w:rFonts w:ascii="Times New Roman" w:hAnsi="Times New Roman" w:cs="Times New Roman"/>
          <w:sz w:val="24"/>
          <w:szCs w:val="24"/>
        </w:rPr>
        <w:t xml:space="preserve"> </w:t>
      </w:r>
      <w:r w:rsidR="009C2083">
        <w:rPr>
          <w:rFonts w:ascii="Times New Roman" w:hAnsi="Times New Roman" w:cs="Times New Roman"/>
          <w:sz w:val="24"/>
          <w:szCs w:val="24"/>
        </w:rPr>
        <w:t>п</w:t>
      </w:r>
      <w:r w:rsidR="0018368C" w:rsidRPr="000A218C">
        <w:rPr>
          <w:rFonts w:ascii="Times New Roman" w:hAnsi="Times New Roman" w:cs="Times New Roman"/>
          <w:sz w:val="24"/>
          <w:szCs w:val="24"/>
        </w:rPr>
        <w:t>риказ</w:t>
      </w:r>
      <w:r w:rsidR="0018368C">
        <w:rPr>
          <w:rFonts w:ascii="Times New Roman" w:hAnsi="Times New Roman" w:cs="Times New Roman"/>
          <w:sz w:val="24"/>
          <w:szCs w:val="24"/>
        </w:rPr>
        <w:t>ом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</w:t>
      </w:r>
      <w:r w:rsidR="0018368C">
        <w:rPr>
          <w:rFonts w:ascii="Times New Roman" w:hAnsi="Times New Roman" w:cs="Times New Roman"/>
          <w:sz w:val="24"/>
          <w:szCs w:val="24"/>
        </w:rPr>
        <w:t>6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н </w:t>
      </w:r>
      <w:r w:rsidR="0018368C">
        <w:rPr>
          <w:rFonts w:ascii="Times New Roman" w:hAnsi="Times New Roman" w:cs="Times New Roman"/>
          <w:sz w:val="24"/>
          <w:szCs w:val="24"/>
        </w:rPr>
        <w:t>«Концептуальные основы бухгалтерского учета и отчетности организаций государственного сектора»</w:t>
      </w:r>
      <w:r w:rsidR="009C2083">
        <w:rPr>
          <w:rFonts w:ascii="Times New Roman" w:hAnsi="Times New Roman" w:cs="Times New Roman"/>
          <w:sz w:val="24"/>
          <w:szCs w:val="24"/>
        </w:rPr>
        <w:t xml:space="preserve"> (</w:t>
      </w:r>
      <w:r w:rsidR="009C2083" w:rsidRPr="009C208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083" w:rsidRPr="009C2083">
        <w:rPr>
          <w:rFonts w:ascii="Times New Roman" w:hAnsi="Times New Roman" w:cs="Times New Roman"/>
          <w:sz w:val="24"/>
          <w:szCs w:val="24"/>
        </w:rPr>
        <w:t>- СГС «Концептуальные основы»</w:t>
      </w:r>
      <w:r w:rsidR="009C2083">
        <w:rPr>
          <w:rFonts w:ascii="Times New Roman" w:hAnsi="Times New Roman" w:cs="Times New Roman"/>
          <w:sz w:val="24"/>
          <w:szCs w:val="24"/>
        </w:rPr>
        <w:t>)</w:t>
      </w:r>
      <w:r w:rsidR="0018368C" w:rsidRPr="009C2083">
        <w:rPr>
          <w:rFonts w:ascii="Times New Roman" w:hAnsi="Times New Roman" w:cs="Times New Roman"/>
          <w:sz w:val="24"/>
          <w:szCs w:val="24"/>
        </w:rPr>
        <w:t>;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68C" w:rsidRPr="000A218C" w:rsidRDefault="009C2083" w:rsidP="000028F3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3D46">
        <w:rPr>
          <w:rFonts w:ascii="Times New Roman" w:hAnsi="Times New Roman" w:cs="Times New Roman"/>
          <w:sz w:val="24"/>
          <w:szCs w:val="24"/>
        </w:rPr>
        <w:t xml:space="preserve">  </w:t>
      </w:r>
      <w:r w:rsidR="00056D8D">
        <w:rPr>
          <w:rFonts w:ascii="Times New Roman" w:hAnsi="Times New Roman" w:cs="Times New Roman"/>
          <w:sz w:val="24"/>
          <w:szCs w:val="24"/>
        </w:rPr>
        <w:t xml:space="preserve"> </w:t>
      </w:r>
      <w:r w:rsidR="0018368C">
        <w:rPr>
          <w:rFonts w:ascii="Times New Roman" w:hAnsi="Times New Roman" w:cs="Times New Roman"/>
          <w:sz w:val="24"/>
          <w:szCs w:val="24"/>
        </w:rPr>
        <w:t>п</w:t>
      </w:r>
      <w:r w:rsidR="0018368C" w:rsidRPr="000A218C">
        <w:rPr>
          <w:rFonts w:ascii="Times New Roman" w:hAnsi="Times New Roman" w:cs="Times New Roman"/>
          <w:sz w:val="24"/>
          <w:szCs w:val="24"/>
        </w:rPr>
        <w:t>риказ</w:t>
      </w:r>
      <w:r w:rsidR="0018368C">
        <w:rPr>
          <w:rFonts w:ascii="Times New Roman" w:hAnsi="Times New Roman" w:cs="Times New Roman"/>
          <w:sz w:val="24"/>
          <w:szCs w:val="24"/>
        </w:rPr>
        <w:t>ом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257н </w:t>
      </w:r>
      <w:r w:rsidR="0018368C">
        <w:rPr>
          <w:rFonts w:ascii="Times New Roman" w:hAnsi="Times New Roman" w:cs="Times New Roman"/>
          <w:sz w:val="24"/>
          <w:szCs w:val="24"/>
        </w:rPr>
        <w:t>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стандарта бухгалтерского учета для организаций государственного сектора </w:t>
      </w:r>
      <w:r w:rsidR="0018368C">
        <w:rPr>
          <w:rFonts w:ascii="Times New Roman" w:hAnsi="Times New Roman" w:cs="Times New Roman"/>
          <w:sz w:val="24"/>
          <w:szCs w:val="24"/>
        </w:rPr>
        <w:t>«Основные</w:t>
      </w:r>
      <w:r w:rsidR="000028F3">
        <w:rPr>
          <w:rFonts w:ascii="Times New Roman" w:hAnsi="Times New Roman" w:cs="Times New Roman"/>
          <w:sz w:val="24"/>
          <w:szCs w:val="24"/>
        </w:rPr>
        <w:t xml:space="preserve"> </w:t>
      </w:r>
      <w:r w:rsidR="0018368C" w:rsidRPr="000A218C">
        <w:rPr>
          <w:rFonts w:ascii="Times New Roman" w:hAnsi="Times New Roman" w:cs="Times New Roman"/>
          <w:sz w:val="24"/>
          <w:szCs w:val="24"/>
        </w:rPr>
        <w:t>средства</w:t>
      </w:r>
      <w:r w:rsidR="001836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C2083">
        <w:rPr>
          <w:rFonts w:ascii="Times New Roman" w:hAnsi="Times New Roman" w:cs="Times New Roman"/>
          <w:sz w:val="24"/>
          <w:szCs w:val="24"/>
        </w:rPr>
        <w:t>далее</w:t>
      </w:r>
      <w:r w:rsidR="00B63D46"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 СГС «Основные средства»)</w:t>
      </w:r>
      <w:r w:rsidR="0018368C" w:rsidRPr="009C2083">
        <w:rPr>
          <w:rFonts w:ascii="Times New Roman" w:hAnsi="Times New Roman" w:cs="Times New Roman"/>
          <w:sz w:val="24"/>
          <w:szCs w:val="24"/>
        </w:rPr>
        <w:t>;</w:t>
      </w:r>
    </w:p>
    <w:p w:rsidR="009C2083" w:rsidRDefault="009C2083" w:rsidP="000028F3">
      <w:pPr>
        <w:pStyle w:val="ConsPlusNormal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3D46">
        <w:rPr>
          <w:rFonts w:ascii="Times New Roman" w:hAnsi="Times New Roman" w:cs="Times New Roman"/>
          <w:sz w:val="24"/>
          <w:szCs w:val="24"/>
        </w:rPr>
        <w:t xml:space="preserve">   </w:t>
      </w:r>
      <w:r w:rsidR="0018368C">
        <w:rPr>
          <w:rFonts w:ascii="Times New Roman" w:hAnsi="Times New Roman" w:cs="Times New Roman"/>
          <w:sz w:val="24"/>
          <w:szCs w:val="24"/>
        </w:rPr>
        <w:t>п</w:t>
      </w:r>
      <w:r w:rsidR="0018368C" w:rsidRPr="000A218C">
        <w:rPr>
          <w:rFonts w:ascii="Times New Roman" w:hAnsi="Times New Roman" w:cs="Times New Roman"/>
          <w:sz w:val="24"/>
          <w:szCs w:val="24"/>
        </w:rPr>
        <w:t>риказ</w:t>
      </w:r>
      <w:r w:rsidR="0018368C">
        <w:rPr>
          <w:rFonts w:ascii="Times New Roman" w:hAnsi="Times New Roman" w:cs="Times New Roman"/>
          <w:sz w:val="24"/>
          <w:szCs w:val="24"/>
        </w:rPr>
        <w:t>ом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258н </w:t>
      </w:r>
      <w:r w:rsidR="0018368C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стандарта </w:t>
      </w:r>
    </w:p>
    <w:p w:rsidR="0018368C" w:rsidRPr="009C2083" w:rsidRDefault="009C2083" w:rsidP="000028F3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ухгалтерского учета для организаций государственного сектора </w:t>
      </w:r>
      <w:r w:rsidR="0018368C">
        <w:rPr>
          <w:rFonts w:ascii="Times New Roman" w:hAnsi="Times New Roman" w:cs="Times New Roman"/>
          <w:sz w:val="24"/>
          <w:szCs w:val="24"/>
        </w:rPr>
        <w:t>«</w:t>
      </w:r>
      <w:r w:rsidR="0018368C" w:rsidRPr="000A218C">
        <w:rPr>
          <w:rFonts w:ascii="Times New Roman" w:hAnsi="Times New Roman" w:cs="Times New Roman"/>
          <w:sz w:val="24"/>
          <w:szCs w:val="24"/>
        </w:rPr>
        <w:t>Аренда</w:t>
      </w:r>
      <w:r w:rsidR="0018368C">
        <w:rPr>
          <w:rFonts w:ascii="Times New Roman" w:hAnsi="Times New Roman" w:cs="Times New Roman"/>
          <w:sz w:val="24"/>
          <w:szCs w:val="24"/>
        </w:rPr>
        <w:t>»</w:t>
      </w:r>
      <w:r w:rsidRPr="009C2083"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(далее</w:t>
      </w:r>
      <w:r w:rsidR="00B63D46"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</w:t>
      </w:r>
      <w:r w:rsidR="00B63D46"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СГС «Аренда»)</w:t>
      </w:r>
      <w:r w:rsidR="0018368C" w:rsidRPr="009C2083">
        <w:rPr>
          <w:rFonts w:ascii="Times New Roman" w:hAnsi="Times New Roman" w:cs="Times New Roman"/>
          <w:sz w:val="24"/>
          <w:szCs w:val="24"/>
        </w:rPr>
        <w:t>;</w:t>
      </w:r>
    </w:p>
    <w:p w:rsidR="0018368C" w:rsidRDefault="009C2083" w:rsidP="000028F3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D46">
        <w:rPr>
          <w:rFonts w:ascii="Times New Roman" w:hAnsi="Times New Roman" w:cs="Times New Roman"/>
          <w:sz w:val="24"/>
          <w:szCs w:val="24"/>
        </w:rPr>
        <w:t xml:space="preserve">   </w:t>
      </w:r>
      <w:r w:rsidR="0018368C">
        <w:rPr>
          <w:rFonts w:ascii="Times New Roman" w:hAnsi="Times New Roman" w:cs="Times New Roman"/>
          <w:sz w:val="24"/>
          <w:szCs w:val="24"/>
        </w:rPr>
        <w:t>п</w:t>
      </w:r>
      <w:r w:rsidR="0018368C" w:rsidRPr="000A218C">
        <w:rPr>
          <w:rFonts w:ascii="Times New Roman" w:hAnsi="Times New Roman" w:cs="Times New Roman"/>
          <w:sz w:val="24"/>
          <w:szCs w:val="24"/>
        </w:rPr>
        <w:t>риказ</w:t>
      </w:r>
      <w:r w:rsidR="0018368C">
        <w:rPr>
          <w:rFonts w:ascii="Times New Roman" w:hAnsi="Times New Roman" w:cs="Times New Roman"/>
          <w:sz w:val="24"/>
          <w:szCs w:val="24"/>
        </w:rPr>
        <w:t>ом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31.12.2016 N 259н </w:t>
      </w:r>
      <w:r w:rsidR="0018368C">
        <w:rPr>
          <w:rFonts w:ascii="Times New Roman" w:hAnsi="Times New Roman" w:cs="Times New Roman"/>
          <w:sz w:val="24"/>
          <w:szCs w:val="24"/>
        </w:rPr>
        <w:t>«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18368C">
        <w:rPr>
          <w:rFonts w:ascii="Times New Roman" w:hAnsi="Times New Roman" w:cs="Times New Roman"/>
          <w:sz w:val="24"/>
          <w:szCs w:val="24"/>
        </w:rPr>
        <w:t>«</w:t>
      </w:r>
      <w:r w:rsidR="0018368C" w:rsidRPr="000A218C">
        <w:rPr>
          <w:rFonts w:ascii="Times New Roman" w:hAnsi="Times New Roman" w:cs="Times New Roman"/>
          <w:sz w:val="24"/>
          <w:szCs w:val="24"/>
        </w:rPr>
        <w:t>Обесценение активов</w:t>
      </w:r>
      <w:r w:rsidR="0018368C">
        <w:rPr>
          <w:rFonts w:ascii="Times New Roman" w:hAnsi="Times New Roman" w:cs="Times New Roman"/>
          <w:sz w:val="24"/>
          <w:szCs w:val="24"/>
        </w:rPr>
        <w:t>»</w:t>
      </w:r>
      <w:r w:rsidR="00EC50D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63D46">
        <w:rPr>
          <w:rFonts w:ascii="Times New Roman" w:hAnsi="Times New Roman" w:cs="Times New Roman"/>
          <w:sz w:val="24"/>
          <w:szCs w:val="24"/>
        </w:rPr>
        <w:t xml:space="preserve"> </w:t>
      </w:r>
      <w:r w:rsidR="00EC50DA">
        <w:rPr>
          <w:rFonts w:ascii="Times New Roman" w:hAnsi="Times New Roman" w:cs="Times New Roman"/>
          <w:sz w:val="24"/>
          <w:szCs w:val="24"/>
        </w:rPr>
        <w:t>-</w:t>
      </w:r>
      <w:r w:rsidR="00EC50DA" w:rsidRPr="00EC50DA">
        <w:t xml:space="preserve"> </w:t>
      </w:r>
      <w:r w:rsidR="00EC50DA" w:rsidRPr="00EC50DA">
        <w:rPr>
          <w:rFonts w:ascii="Times New Roman" w:hAnsi="Times New Roman" w:cs="Times New Roman"/>
          <w:sz w:val="24"/>
          <w:szCs w:val="24"/>
        </w:rPr>
        <w:t>СГС «Обесценение активов»)</w:t>
      </w:r>
      <w:r w:rsidR="0018368C" w:rsidRPr="00EC50DA">
        <w:rPr>
          <w:rFonts w:ascii="Times New Roman" w:hAnsi="Times New Roman" w:cs="Times New Roman"/>
          <w:sz w:val="24"/>
          <w:szCs w:val="24"/>
        </w:rPr>
        <w:t>;</w:t>
      </w:r>
    </w:p>
    <w:p w:rsidR="0018368C" w:rsidRDefault="009C2083" w:rsidP="000028F3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D46">
        <w:rPr>
          <w:rFonts w:ascii="Times New Roman" w:hAnsi="Times New Roman" w:cs="Times New Roman"/>
          <w:sz w:val="24"/>
          <w:szCs w:val="24"/>
        </w:rPr>
        <w:t xml:space="preserve">   </w:t>
      </w:r>
      <w:r w:rsidR="0018368C">
        <w:rPr>
          <w:rFonts w:ascii="Times New Roman" w:hAnsi="Times New Roman" w:cs="Times New Roman"/>
          <w:sz w:val="24"/>
          <w:szCs w:val="24"/>
        </w:rPr>
        <w:t>п</w:t>
      </w:r>
      <w:r w:rsidR="0018368C" w:rsidRPr="000A218C">
        <w:rPr>
          <w:rFonts w:ascii="Times New Roman" w:hAnsi="Times New Roman" w:cs="Times New Roman"/>
          <w:sz w:val="24"/>
          <w:szCs w:val="24"/>
        </w:rPr>
        <w:t>риказ</w:t>
      </w:r>
      <w:r w:rsidR="0018368C">
        <w:rPr>
          <w:rFonts w:ascii="Times New Roman" w:hAnsi="Times New Roman" w:cs="Times New Roman"/>
          <w:sz w:val="24"/>
          <w:szCs w:val="24"/>
        </w:rPr>
        <w:t>ом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</w:t>
      </w:r>
      <w:r w:rsidR="0018368C">
        <w:rPr>
          <w:rFonts w:ascii="Times New Roman" w:hAnsi="Times New Roman" w:cs="Times New Roman"/>
          <w:sz w:val="24"/>
          <w:szCs w:val="24"/>
        </w:rPr>
        <w:t>07</w:t>
      </w:r>
      <w:r w:rsidR="0018368C" w:rsidRPr="000A218C">
        <w:rPr>
          <w:rFonts w:ascii="Times New Roman" w:hAnsi="Times New Roman" w:cs="Times New Roman"/>
          <w:sz w:val="24"/>
          <w:szCs w:val="24"/>
        </w:rPr>
        <w:t>.12.201</w:t>
      </w:r>
      <w:r w:rsidR="0018368C">
        <w:rPr>
          <w:rFonts w:ascii="Times New Roman" w:hAnsi="Times New Roman" w:cs="Times New Roman"/>
          <w:sz w:val="24"/>
          <w:szCs w:val="24"/>
        </w:rPr>
        <w:t>8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 N 25</w:t>
      </w:r>
      <w:r w:rsidR="0018368C">
        <w:rPr>
          <w:rFonts w:ascii="Times New Roman" w:hAnsi="Times New Roman" w:cs="Times New Roman"/>
          <w:sz w:val="24"/>
          <w:szCs w:val="24"/>
        </w:rPr>
        <w:t>6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н </w:t>
      </w:r>
      <w:r w:rsidR="0018368C">
        <w:rPr>
          <w:rFonts w:ascii="Times New Roman" w:hAnsi="Times New Roman" w:cs="Times New Roman"/>
          <w:sz w:val="24"/>
          <w:szCs w:val="24"/>
        </w:rPr>
        <w:t>«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</w:t>
      </w:r>
      <w:r w:rsidR="0018368C" w:rsidRPr="000A218C">
        <w:rPr>
          <w:rFonts w:ascii="Times New Roman" w:hAnsi="Times New Roman" w:cs="Times New Roman"/>
          <w:sz w:val="24"/>
          <w:szCs w:val="24"/>
        </w:rPr>
        <w:lastRenderedPageBreak/>
        <w:t xml:space="preserve">бухгалтерского учета для организаций государственного сектора </w:t>
      </w:r>
      <w:r w:rsidR="0018368C">
        <w:rPr>
          <w:rFonts w:ascii="Times New Roman" w:hAnsi="Times New Roman" w:cs="Times New Roman"/>
          <w:sz w:val="24"/>
          <w:szCs w:val="24"/>
        </w:rPr>
        <w:t>«Запасы»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C2083">
        <w:rPr>
          <w:rFonts w:ascii="Times New Roman" w:hAnsi="Times New Roman" w:cs="Times New Roman"/>
          <w:sz w:val="24"/>
          <w:szCs w:val="24"/>
        </w:rPr>
        <w:t>далее</w:t>
      </w:r>
      <w:r w:rsidR="00B63D46"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-</w:t>
      </w:r>
      <w:r w:rsidR="00B63D46">
        <w:rPr>
          <w:rFonts w:ascii="Times New Roman" w:hAnsi="Times New Roman" w:cs="Times New Roman"/>
          <w:sz w:val="24"/>
          <w:szCs w:val="24"/>
        </w:rPr>
        <w:t xml:space="preserve"> </w:t>
      </w:r>
      <w:r w:rsidRPr="009C2083">
        <w:rPr>
          <w:rFonts w:ascii="Times New Roman" w:hAnsi="Times New Roman" w:cs="Times New Roman"/>
          <w:sz w:val="24"/>
          <w:szCs w:val="24"/>
        </w:rPr>
        <w:t>СГС «Запасы»)</w:t>
      </w:r>
      <w:r w:rsidR="0018368C" w:rsidRPr="009C2083">
        <w:rPr>
          <w:rFonts w:ascii="Times New Roman" w:hAnsi="Times New Roman" w:cs="Times New Roman"/>
          <w:sz w:val="24"/>
          <w:szCs w:val="24"/>
        </w:rPr>
        <w:t>;</w:t>
      </w:r>
    </w:p>
    <w:p w:rsidR="00B149A5" w:rsidRDefault="009C2083" w:rsidP="000028F3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D46">
        <w:rPr>
          <w:rFonts w:ascii="Times New Roman" w:hAnsi="Times New Roman" w:cs="Times New Roman"/>
          <w:sz w:val="24"/>
          <w:szCs w:val="24"/>
        </w:rPr>
        <w:t xml:space="preserve">   </w:t>
      </w:r>
      <w:r w:rsidR="0018368C">
        <w:rPr>
          <w:rFonts w:ascii="Times New Roman" w:hAnsi="Times New Roman" w:cs="Times New Roman"/>
          <w:sz w:val="24"/>
          <w:szCs w:val="24"/>
        </w:rPr>
        <w:t>п</w:t>
      </w:r>
      <w:r w:rsidR="0018368C" w:rsidRPr="000A218C">
        <w:rPr>
          <w:rFonts w:ascii="Times New Roman" w:hAnsi="Times New Roman" w:cs="Times New Roman"/>
          <w:sz w:val="24"/>
          <w:szCs w:val="24"/>
        </w:rPr>
        <w:t>риказ</w:t>
      </w:r>
      <w:r w:rsidR="0018368C">
        <w:rPr>
          <w:rFonts w:ascii="Times New Roman" w:hAnsi="Times New Roman" w:cs="Times New Roman"/>
          <w:sz w:val="24"/>
          <w:szCs w:val="24"/>
        </w:rPr>
        <w:t>ом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 Минфина России от </w:t>
      </w:r>
      <w:r w:rsidR="0018368C">
        <w:rPr>
          <w:rFonts w:ascii="Times New Roman" w:hAnsi="Times New Roman" w:cs="Times New Roman"/>
          <w:sz w:val="24"/>
          <w:szCs w:val="24"/>
        </w:rPr>
        <w:t>27</w:t>
      </w:r>
      <w:r w:rsidR="0018368C" w:rsidRPr="000A218C">
        <w:rPr>
          <w:rFonts w:ascii="Times New Roman" w:hAnsi="Times New Roman" w:cs="Times New Roman"/>
          <w:sz w:val="24"/>
          <w:szCs w:val="24"/>
        </w:rPr>
        <w:t>.</w:t>
      </w:r>
      <w:r w:rsidR="0018368C">
        <w:rPr>
          <w:rFonts w:ascii="Times New Roman" w:hAnsi="Times New Roman" w:cs="Times New Roman"/>
          <w:sz w:val="24"/>
          <w:szCs w:val="24"/>
        </w:rPr>
        <w:t>02</w:t>
      </w:r>
      <w:r w:rsidR="0018368C" w:rsidRPr="000A218C">
        <w:rPr>
          <w:rFonts w:ascii="Times New Roman" w:hAnsi="Times New Roman" w:cs="Times New Roman"/>
          <w:sz w:val="24"/>
          <w:szCs w:val="24"/>
        </w:rPr>
        <w:t>.201</w:t>
      </w:r>
      <w:r w:rsidR="0018368C">
        <w:rPr>
          <w:rFonts w:ascii="Times New Roman" w:hAnsi="Times New Roman" w:cs="Times New Roman"/>
          <w:sz w:val="24"/>
          <w:szCs w:val="24"/>
        </w:rPr>
        <w:t>8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 N </w:t>
      </w:r>
      <w:r w:rsidR="0018368C">
        <w:rPr>
          <w:rFonts w:ascii="Times New Roman" w:hAnsi="Times New Roman" w:cs="Times New Roman"/>
          <w:sz w:val="24"/>
          <w:szCs w:val="24"/>
        </w:rPr>
        <w:t>32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н </w:t>
      </w:r>
      <w:r w:rsidR="0018368C">
        <w:rPr>
          <w:rFonts w:ascii="Times New Roman" w:hAnsi="Times New Roman" w:cs="Times New Roman"/>
          <w:sz w:val="24"/>
          <w:szCs w:val="24"/>
        </w:rPr>
        <w:t>«</w:t>
      </w:r>
      <w:r w:rsidR="0018368C" w:rsidRPr="000A218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18368C">
        <w:rPr>
          <w:rFonts w:ascii="Times New Roman" w:hAnsi="Times New Roman" w:cs="Times New Roman"/>
          <w:sz w:val="24"/>
          <w:szCs w:val="24"/>
        </w:rPr>
        <w:t>«Доходы»</w:t>
      </w:r>
      <w:r w:rsidR="00EC50D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63D46">
        <w:rPr>
          <w:rFonts w:ascii="Times New Roman" w:hAnsi="Times New Roman" w:cs="Times New Roman"/>
          <w:sz w:val="24"/>
          <w:szCs w:val="24"/>
        </w:rPr>
        <w:t xml:space="preserve"> </w:t>
      </w:r>
      <w:r w:rsidR="00EC50DA">
        <w:rPr>
          <w:rFonts w:ascii="Times New Roman" w:hAnsi="Times New Roman" w:cs="Times New Roman"/>
          <w:sz w:val="24"/>
          <w:szCs w:val="24"/>
        </w:rPr>
        <w:t>- СГС «Доходы»)</w:t>
      </w:r>
      <w:r w:rsidR="00B149A5">
        <w:rPr>
          <w:rFonts w:ascii="Times New Roman" w:hAnsi="Times New Roman" w:cs="Times New Roman"/>
          <w:sz w:val="24"/>
          <w:szCs w:val="24"/>
        </w:rPr>
        <w:t>;</w:t>
      </w:r>
    </w:p>
    <w:p w:rsidR="00E2531A" w:rsidRPr="00791F27" w:rsidRDefault="00E2531A" w:rsidP="000028F3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791F27">
        <w:rPr>
          <w:rFonts w:ascii="Times New Roman" w:hAnsi="Times New Roman" w:cs="Times New Roman"/>
          <w:sz w:val="24"/>
          <w:szCs w:val="24"/>
        </w:rPr>
        <w:t>приказ Минфина России от 30.12.2017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- СГС «Учетная политика»)</w:t>
      </w:r>
      <w:r w:rsidR="00791F27">
        <w:rPr>
          <w:rFonts w:ascii="Times New Roman" w:hAnsi="Times New Roman" w:cs="Times New Roman"/>
          <w:sz w:val="24"/>
          <w:szCs w:val="24"/>
        </w:rPr>
        <w:t>;</w:t>
      </w:r>
    </w:p>
    <w:p w:rsidR="00B149A5" w:rsidRPr="00B149A5" w:rsidRDefault="00B149A5" w:rsidP="00B149A5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49A5">
        <w:rPr>
          <w:rFonts w:ascii="Times New Roman" w:hAnsi="Times New Roman" w:cs="Times New Roman"/>
          <w:sz w:val="24"/>
          <w:szCs w:val="24"/>
        </w:rPr>
        <w:t>приказом Минфина России от 28.02.2018 №34н «Об утверждении федерального стандарта бухгалтерского учета для организаций государственного сектора «Непроизведенные активы» (далее-СГС «Непроизведенные активы»);</w:t>
      </w:r>
    </w:p>
    <w:p w:rsidR="0018368C" w:rsidRDefault="00B149A5" w:rsidP="00B149A5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49A5">
        <w:rPr>
          <w:rFonts w:ascii="Times New Roman" w:hAnsi="Times New Roman" w:cs="Times New Roman"/>
          <w:sz w:val="24"/>
          <w:szCs w:val="24"/>
        </w:rPr>
        <w:t>приказом Минфина России от 15.11.2019 №181н «Об утверждении федерального стандарта бухгалтерского учета государственных финансов «Нематериальные активы» (далее-СГС «Нематериальные активы»)</w:t>
      </w:r>
      <w:r w:rsidR="005F2AFE">
        <w:rPr>
          <w:rFonts w:ascii="Times New Roman" w:hAnsi="Times New Roman" w:cs="Times New Roman"/>
          <w:sz w:val="24"/>
          <w:szCs w:val="24"/>
        </w:rPr>
        <w:t>.</w:t>
      </w:r>
    </w:p>
    <w:p w:rsidR="00B350BE" w:rsidRPr="00B149A5" w:rsidRDefault="005F2AFE" w:rsidP="002D7243">
      <w:pPr>
        <w:pStyle w:val="ConsPlusNormal"/>
        <w:ind w:right="-143" w:firstLine="0"/>
        <w:jc w:val="both"/>
        <w:rPr>
          <w:b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056C" w:rsidRPr="0036056C" w:rsidRDefault="0036056C" w:rsidP="000028F3">
      <w:pPr>
        <w:ind w:right="-143"/>
        <w:jc w:val="center"/>
        <w:rPr>
          <w:b/>
        </w:rPr>
      </w:pPr>
      <w:r w:rsidRPr="0036056C">
        <w:rPr>
          <w:b/>
        </w:rPr>
        <w:t>2. Порядок работы комиссии по поступлению и выбытию активов</w:t>
      </w:r>
    </w:p>
    <w:p w:rsidR="0036056C" w:rsidRPr="00DE478A" w:rsidRDefault="0036056C" w:rsidP="000028F3">
      <w:pPr>
        <w:ind w:right="-143"/>
        <w:jc w:val="both"/>
        <w:rPr>
          <w:color w:val="FF0000"/>
        </w:rPr>
      </w:pPr>
    </w:p>
    <w:p w:rsidR="00B648E7" w:rsidRDefault="000C2607" w:rsidP="000C2607">
      <w:pPr>
        <w:pStyle w:val="ConsPlusNormal"/>
        <w:ind w:firstLine="0"/>
        <w:jc w:val="both"/>
      </w:pPr>
      <w:r>
        <w:t xml:space="preserve">     </w:t>
      </w:r>
      <w:r w:rsidR="00B350BE" w:rsidRPr="00DE478A">
        <w:t xml:space="preserve">  </w:t>
      </w:r>
      <w:r w:rsidR="00592036">
        <w:t xml:space="preserve"> </w:t>
      </w:r>
      <w:r w:rsidR="00B648E7" w:rsidRPr="000C2607">
        <w:rPr>
          <w:rFonts w:ascii="Times New Roman" w:hAnsi="Times New Roman" w:cs="Times New Roman"/>
          <w:sz w:val="24"/>
          <w:szCs w:val="24"/>
        </w:rPr>
        <w:t>2.1. Комиссия осуществляет свою работу в соответствии с Положением о признании и списании активов и обязательств</w:t>
      </w:r>
      <w:r w:rsidR="00B648E7" w:rsidRPr="000C260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48E7" w:rsidRPr="000C2607">
        <w:rPr>
          <w:rFonts w:ascii="Times New Roman" w:hAnsi="Times New Roman" w:cs="Times New Roman"/>
          <w:sz w:val="24"/>
          <w:szCs w:val="24"/>
        </w:rPr>
        <w:t>Приложение №1</w:t>
      </w:r>
      <w:r w:rsidR="00375C58" w:rsidRPr="000C2607">
        <w:rPr>
          <w:rFonts w:ascii="Times New Roman" w:hAnsi="Times New Roman" w:cs="Times New Roman"/>
          <w:sz w:val="24"/>
          <w:szCs w:val="24"/>
        </w:rPr>
        <w:t>1</w:t>
      </w:r>
      <w:r w:rsidR="00B648E7" w:rsidRPr="000C2607">
        <w:rPr>
          <w:rFonts w:ascii="Times New Roman" w:hAnsi="Times New Roman" w:cs="Times New Roman"/>
          <w:sz w:val="24"/>
          <w:szCs w:val="24"/>
        </w:rPr>
        <w:t xml:space="preserve"> к Единой учетной политике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и </w:t>
      </w:r>
      <w:r w:rsidRPr="000C2607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0C2607">
        <w:rPr>
          <w:rFonts w:ascii="Times New Roman" w:hAnsi="Times New Roman" w:cs="Times New Roman"/>
          <w:sz w:val="24"/>
          <w:szCs w:val="24"/>
        </w:rPr>
        <w:t xml:space="preserve"> проведения инвентаризации активов и обязательств, осуществляемой в целях обеспечения достоверности данных бухгалтерского учета, бухгалтерской (финансовой) отчетности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№15 </w:t>
      </w:r>
      <w:r w:rsidRPr="000C2607">
        <w:rPr>
          <w:rFonts w:ascii="Times New Roman" w:hAnsi="Times New Roman" w:cs="Times New Roman"/>
          <w:sz w:val="24"/>
          <w:szCs w:val="24"/>
        </w:rPr>
        <w:t>к Единой учетной политике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D2666" w:rsidRDefault="005578A6" w:rsidP="00EB3811">
      <w:pPr>
        <w:ind w:right="-143"/>
        <w:jc w:val="both"/>
      </w:pPr>
      <w:r>
        <w:t xml:space="preserve">       </w:t>
      </w:r>
      <w:r w:rsidR="006D3CD3">
        <w:t xml:space="preserve">2.2. </w:t>
      </w:r>
      <w:r w:rsidR="00044219">
        <w:t xml:space="preserve">В состав Комиссии </w:t>
      </w:r>
      <w:r w:rsidR="001D2666">
        <w:t>по поступлению и выбытию активов</w:t>
      </w:r>
      <w:r w:rsidR="00ED68E9">
        <w:t xml:space="preserve"> </w:t>
      </w:r>
      <w:r w:rsidR="00EB3811">
        <w:t>для принятия решения в части</w:t>
      </w:r>
      <w:r w:rsidR="001D2666">
        <w:t>:</w:t>
      </w:r>
    </w:p>
    <w:p w:rsidR="00EB3811" w:rsidRDefault="001D2666" w:rsidP="00EB3811">
      <w:pPr>
        <w:ind w:right="-143"/>
        <w:jc w:val="both"/>
      </w:pPr>
      <w:r>
        <w:t xml:space="preserve">       </w:t>
      </w:r>
      <w:r w:rsidR="00EB3811">
        <w:t xml:space="preserve"> поступления и выбытия активов (определения сроков полезного использования НФА, оценки актива при принятии к учету, списания объектов НФА, </w:t>
      </w:r>
      <w:proofErr w:type="spellStart"/>
      <w:r w:rsidR="00EB3811">
        <w:t>реклассификации</w:t>
      </w:r>
      <w:proofErr w:type="spellEnd"/>
      <w:r w:rsidR="00EB3811">
        <w:t xml:space="preserve">, </w:t>
      </w:r>
      <w:proofErr w:type="spellStart"/>
      <w:r w:rsidR="00EB3811">
        <w:t>разукомплектации</w:t>
      </w:r>
      <w:proofErr w:type="spellEnd"/>
      <w:r w:rsidR="00EB3811">
        <w:t xml:space="preserve"> объектов НФА</w:t>
      </w:r>
      <w:r w:rsidR="00FF737D">
        <w:t>,</w:t>
      </w:r>
      <w:r w:rsidR="00EB3811">
        <w:t xml:space="preserve"> прекращения признания активами объектов НФА) </w:t>
      </w:r>
      <w:r w:rsidR="00FF737D">
        <w:t xml:space="preserve">- </w:t>
      </w:r>
      <w:r w:rsidR="00EB3811">
        <w:t>привлекаются работники,</w:t>
      </w:r>
      <w:r w:rsidR="00ED68E9">
        <w:t xml:space="preserve"> </w:t>
      </w:r>
      <w:r>
        <w:t>имеющие опыт эксплуатации и обслуживания</w:t>
      </w:r>
      <w:r w:rsidR="00EB3811">
        <w:t xml:space="preserve"> имущества.</w:t>
      </w:r>
    </w:p>
    <w:p w:rsidR="00ED68E9" w:rsidRDefault="001D2666" w:rsidP="00FF737D">
      <w:pPr>
        <w:tabs>
          <w:tab w:val="left" w:pos="567"/>
        </w:tabs>
        <w:ind w:right="-143" w:firstLine="426"/>
        <w:jc w:val="both"/>
      </w:pPr>
      <w:r>
        <w:t>списания сомнительной и безнадежной де</w:t>
      </w:r>
      <w:r w:rsidRPr="00625529">
        <w:t>биторской задолженности</w:t>
      </w:r>
      <w:r w:rsidR="00FF737D">
        <w:t xml:space="preserve"> </w:t>
      </w:r>
      <w:r w:rsidR="00ED68E9">
        <w:t>-</w:t>
      </w:r>
      <w:r w:rsidR="00FF737D">
        <w:t xml:space="preserve"> </w:t>
      </w:r>
      <w:r w:rsidR="00ED68E9">
        <w:t>привлекаются работники,</w:t>
      </w:r>
      <w:r w:rsidR="00FF737D">
        <w:t xml:space="preserve"> </w:t>
      </w:r>
      <w:r w:rsidR="00ED68E9">
        <w:t>имеющие знания Гражданского кодекса РФ и правоприменительной практики;</w:t>
      </w:r>
    </w:p>
    <w:p w:rsidR="00FA11C4" w:rsidRDefault="00FA11C4" w:rsidP="00FA11C4">
      <w:pPr>
        <w:ind w:firstLine="436"/>
        <w:jc w:val="both"/>
      </w:pPr>
      <w:r>
        <w:t>списания начисленной и неуплаченной суммы неустойки (штрафов, пеней) - привлекаются         работники, осуществляющие закупочную деятельность.</w:t>
      </w:r>
    </w:p>
    <w:p w:rsidR="00FA11C4" w:rsidRDefault="00FA11C4" w:rsidP="00FA11C4">
      <w:pPr>
        <w:ind w:right="-143"/>
        <w:jc w:val="both"/>
      </w:pPr>
      <w:r w:rsidRPr="008B2783">
        <w:t xml:space="preserve">        2.</w:t>
      </w:r>
      <w:r>
        <w:t>3</w:t>
      </w:r>
      <w:r w:rsidRPr="008B2783">
        <w:t>. В случае отсутствия в обслуживаемом учреждении и организации работников, обладающих специальными знаниями в рассматриваемом комиссией вопросах, для участия в заседаниях комиссии могут приглашаться эксперты. Эксперты принимают участие в работе к</w:t>
      </w:r>
      <w:r>
        <w:t>омиссии на безвозмездной основе.</w:t>
      </w:r>
    </w:p>
    <w:p w:rsidR="00FA11C4" w:rsidRDefault="00FA11C4" w:rsidP="00FA11C4">
      <w:pPr>
        <w:ind w:firstLine="436"/>
        <w:jc w:val="both"/>
      </w:pPr>
      <w:r>
        <w:t>2.4.</w:t>
      </w:r>
      <w:r w:rsidRPr="00FA11C4">
        <w:t xml:space="preserve"> </w:t>
      </w:r>
      <w:r w:rsidRPr="00991118">
        <w:t xml:space="preserve">Экспертом не может быть лицо учреждения, на которое возложены обязанности, связанные с непосредственной ответственностью за </w:t>
      </w:r>
      <w:r>
        <w:t xml:space="preserve">сохранность </w:t>
      </w:r>
      <w:r w:rsidRPr="00991118">
        <w:t>материальны</w:t>
      </w:r>
      <w:r>
        <w:t>х</w:t>
      </w:r>
      <w:r w:rsidRPr="00991118">
        <w:t xml:space="preserve"> ценност</w:t>
      </w:r>
      <w:r>
        <w:t>ей</w:t>
      </w:r>
      <w:r w:rsidR="00521F48">
        <w:t>.</w:t>
      </w:r>
      <w:r w:rsidRPr="00991118">
        <w:t xml:space="preserve"> </w:t>
      </w:r>
    </w:p>
    <w:p w:rsidR="00B350BE" w:rsidRPr="0036056C" w:rsidRDefault="00592036" w:rsidP="00B648E7">
      <w:pPr>
        <w:tabs>
          <w:tab w:val="left" w:pos="567"/>
        </w:tabs>
        <w:ind w:right="-143" w:firstLine="426"/>
        <w:jc w:val="both"/>
      </w:pPr>
      <w:r>
        <w:t>2</w:t>
      </w:r>
      <w:r w:rsidR="00B350BE" w:rsidRPr="0036056C">
        <w:t>.</w:t>
      </w:r>
      <w:r w:rsidR="00FA11C4">
        <w:t>5</w:t>
      </w:r>
      <w:r w:rsidR="00B350BE" w:rsidRPr="0036056C">
        <w:t xml:space="preserve">. Состав комиссии по поступлению и выбытию активов (далее - комиссия) </w:t>
      </w:r>
      <w:r w:rsidRPr="0036056C">
        <w:t>утверждается приказом</w:t>
      </w:r>
      <w:r w:rsidR="00B350BE" w:rsidRPr="0036056C">
        <w:t xml:space="preserve"> руководителя</w:t>
      </w:r>
      <w:r w:rsidR="0036056C" w:rsidRPr="0036056C">
        <w:t xml:space="preserve"> обслуживаемого учреждения или организации.</w:t>
      </w:r>
    </w:p>
    <w:p w:rsidR="00B350BE" w:rsidRPr="00DE478A" w:rsidRDefault="00B350BE" w:rsidP="000028F3">
      <w:pPr>
        <w:ind w:right="-143"/>
        <w:jc w:val="both"/>
      </w:pPr>
      <w:r w:rsidRPr="00DE478A">
        <w:t xml:space="preserve">       </w:t>
      </w:r>
      <w:r w:rsidR="00592036">
        <w:t xml:space="preserve"> 2</w:t>
      </w:r>
      <w:r w:rsidRPr="00DE478A">
        <w:t>.</w:t>
      </w:r>
      <w:r w:rsidR="00FA11C4">
        <w:t>6</w:t>
      </w:r>
      <w:r w:rsidRPr="00DE478A">
        <w:t xml:space="preserve">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 </w:t>
      </w:r>
    </w:p>
    <w:p w:rsidR="00B350BE" w:rsidRPr="00DE478A" w:rsidRDefault="00B350BE" w:rsidP="000028F3">
      <w:pPr>
        <w:ind w:right="-143"/>
        <w:jc w:val="both"/>
      </w:pPr>
      <w:r w:rsidRPr="00DE478A">
        <w:t xml:space="preserve">       </w:t>
      </w:r>
      <w:r w:rsidR="00592036">
        <w:t xml:space="preserve"> 2</w:t>
      </w:r>
      <w:r w:rsidRPr="00DE478A">
        <w:t>.</w:t>
      </w:r>
      <w:r w:rsidR="00FA11C4">
        <w:t>7</w:t>
      </w:r>
      <w:r w:rsidRPr="00DE478A">
        <w:t xml:space="preserve">. Комиссия проводит заседания по мере необходимости. </w:t>
      </w:r>
    </w:p>
    <w:p w:rsidR="00B350BE" w:rsidRPr="00DE478A" w:rsidRDefault="00B350BE" w:rsidP="00592036">
      <w:pPr>
        <w:tabs>
          <w:tab w:val="left" w:pos="567"/>
        </w:tabs>
        <w:ind w:right="-143"/>
        <w:jc w:val="both"/>
      </w:pPr>
      <w:r w:rsidRPr="00DE478A">
        <w:t xml:space="preserve">       </w:t>
      </w:r>
      <w:r w:rsidR="008B2783">
        <w:t xml:space="preserve"> </w:t>
      </w:r>
      <w:r w:rsidR="00592036">
        <w:t>2</w:t>
      </w:r>
      <w:r w:rsidRPr="00DE478A">
        <w:t>.</w:t>
      </w:r>
      <w:r w:rsidR="00FA11C4">
        <w:t>8</w:t>
      </w:r>
      <w:r w:rsidRPr="00DE478A">
        <w:t>. Срок рассмотрения комиссией предоставленных ей документов не должен превышать 1</w:t>
      </w:r>
      <w:r w:rsidR="00D5692B">
        <w:t>4</w:t>
      </w:r>
      <w:r w:rsidRPr="00DE478A">
        <w:t xml:space="preserve"> календарных дней. </w:t>
      </w:r>
    </w:p>
    <w:p w:rsidR="00B350BE" w:rsidRPr="00DE478A" w:rsidRDefault="00B350BE" w:rsidP="000028F3">
      <w:pPr>
        <w:ind w:right="-143"/>
        <w:jc w:val="both"/>
      </w:pPr>
      <w:r w:rsidRPr="00DE478A">
        <w:t xml:space="preserve">       </w:t>
      </w:r>
      <w:r w:rsidR="008B2783">
        <w:t xml:space="preserve"> </w:t>
      </w:r>
      <w:r w:rsidR="00592036">
        <w:t>2</w:t>
      </w:r>
      <w:r w:rsidRPr="00DE478A">
        <w:t>.</w:t>
      </w:r>
      <w:r w:rsidR="00FA11C4">
        <w:t>9</w:t>
      </w:r>
      <w:r w:rsidRPr="00DE478A">
        <w:t xml:space="preserve">. Заседание комиссии правомочно при наличии на ее заседании не менее двух третей членов ее состава. </w:t>
      </w:r>
    </w:p>
    <w:p w:rsidR="00CA6402" w:rsidRDefault="00663FA6" w:rsidP="00231A4C">
      <w:pPr>
        <w:ind w:right="-143"/>
        <w:jc w:val="both"/>
      </w:pPr>
      <w:r>
        <w:t xml:space="preserve">        </w:t>
      </w:r>
      <w:r w:rsidR="00592036">
        <w:t>2</w:t>
      </w:r>
      <w:r w:rsidR="00B350BE" w:rsidRPr="00DE478A">
        <w:t>.</w:t>
      </w:r>
      <w:r w:rsidR="00FA11C4">
        <w:t>10</w:t>
      </w:r>
      <w:r w:rsidR="00B350BE" w:rsidRPr="00DE478A">
        <w:t xml:space="preserve">. </w:t>
      </w:r>
      <w:r w:rsidR="00231A4C" w:rsidRPr="001B6518">
        <w:t xml:space="preserve">Решение </w:t>
      </w:r>
      <w:r w:rsidR="00B34B18">
        <w:t>К</w:t>
      </w:r>
      <w:r w:rsidR="00231A4C" w:rsidRPr="001B6518">
        <w:t xml:space="preserve">омиссии, принятое на заседании, </w:t>
      </w:r>
      <w:r w:rsidR="00CA6402">
        <w:t xml:space="preserve">оформляется </w:t>
      </w:r>
      <w:r w:rsidR="00122100">
        <w:t>протоколом</w:t>
      </w:r>
      <w:r w:rsidR="00B34B18">
        <w:t>, который подписывается всеми членами Комиссии в день проведения заседания, в части</w:t>
      </w:r>
      <w:r w:rsidR="004350B3">
        <w:t xml:space="preserve"> </w:t>
      </w:r>
      <w:r w:rsidR="00B546A2">
        <w:t>принятия решения</w:t>
      </w:r>
      <w:r w:rsidR="00B34B18">
        <w:t>:</w:t>
      </w:r>
    </w:p>
    <w:p w:rsidR="00FF737D" w:rsidRDefault="00FF737D" w:rsidP="00231A4C">
      <w:pPr>
        <w:ind w:right="-143"/>
        <w:jc w:val="both"/>
      </w:pPr>
      <w:r>
        <w:t xml:space="preserve">       о прекращении признания объектов НФА, не соответствующими критериям «актива»;</w:t>
      </w:r>
    </w:p>
    <w:p w:rsidR="007B3B4C" w:rsidRPr="005F2706" w:rsidRDefault="00FF737D" w:rsidP="007B3B4C">
      <w:pPr>
        <w:jc w:val="both"/>
      </w:pPr>
      <w:r>
        <w:t xml:space="preserve">       о </w:t>
      </w:r>
      <w:r w:rsidR="007B3B4C" w:rsidRPr="005F2706">
        <w:t>мероприятиях по уничтожению материальных ценностей, в отношении которых принято решение о списании (прекращении эксплуатации)</w:t>
      </w:r>
      <w:r w:rsidR="007B3B4C">
        <w:t>;</w:t>
      </w:r>
      <w:r w:rsidR="007B3B4C" w:rsidRPr="005F2706">
        <w:t xml:space="preserve">                              </w:t>
      </w:r>
    </w:p>
    <w:p w:rsidR="00B34B18" w:rsidRDefault="00B34B18" w:rsidP="00231A4C">
      <w:pPr>
        <w:ind w:right="-143"/>
        <w:jc w:val="both"/>
      </w:pPr>
      <w:r>
        <w:lastRenderedPageBreak/>
        <w:t xml:space="preserve">       о списании начисленной и неуплаченной суммы неустойки (штрафов, пеней) </w:t>
      </w:r>
      <w:r w:rsidR="00E53D8A">
        <w:t>при наличии оснований</w:t>
      </w:r>
      <w:r w:rsidR="00D53B70">
        <w:t xml:space="preserve"> и</w:t>
      </w:r>
      <w:r>
        <w:t xml:space="preserve"> документов, подтвержденных сторонами контракта</w:t>
      </w:r>
      <w:r w:rsidR="007C2DF1">
        <w:t xml:space="preserve"> (сверка расчетов по начисленным и неуплаченным суммам неустоек (штрафов, пеней);</w:t>
      </w:r>
      <w:r>
        <w:t xml:space="preserve"> </w:t>
      </w:r>
    </w:p>
    <w:p w:rsidR="00B546A2" w:rsidRDefault="00B546A2" w:rsidP="00B546A2">
      <w:pPr>
        <w:ind w:right="-143"/>
        <w:jc w:val="both"/>
      </w:pPr>
      <w:r>
        <w:t xml:space="preserve">        о подготовке внутреннего распорядительного документа заказчика (приказа, распоряжения) о списании   начисленной и неуплаченной суммы неустойки (штрафов, пеней);</w:t>
      </w:r>
    </w:p>
    <w:p w:rsidR="00B546A2" w:rsidRDefault="00B546A2" w:rsidP="00B546A2">
      <w:pPr>
        <w:ind w:right="-143"/>
        <w:jc w:val="both"/>
      </w:pPr>
      <w:r>
        <w:t xml:space="preserve">        об отражении в регистрах бухгалтерского учета списания начисленных и неуплаченных   сумм неустоек (штрафов, пеней);</w:t>
      </w:r>
    </w:p>
    <w:p w:rsidR="00B546A2" w:rsidRDefault="00B546A2" w:rsidP="00B546A2">
      <w:pPr>
        <w:ind w:right="-143"/>
        <w:jc w:val="both"/>
      </w:pPr>
      <w:r>
        <w:t xml:space="preserve">        о направлении в адрес поставщика уведомления в письменной форме о списании начисленной и неуплаченной   суммы неустоек (штрафов, пеней);</w:t>
      </w:r>
    </w:p>
    <w:p w:rsidR="00561EA5" w:rsidRDefault="007C2DF1" w:rsidP="007C2DF1">
      <w:pPr>
        <w:jc w:val="both"/>
      </w:pPr>
      <w:r>
        <w:rPr>
          <w:b/>
        </w:rPr>
        <w:t xml:space="preserve">       </w:t>
      </w:r>
      <w:r w:rsidRPr="004350B3">
        <w:t>о</w:t>
      </w:r>
      <w:r>
        <w:rPr>
          <w:b/>
        </w:rPr>
        <w:t xml:space="preserve"> </w:t>
      </w:r>
      <w:r w:rsidRPr="00D43A6D">
        <w:t>признани</w:t>
      </w:r>
      <w:r>
        <w:t>и</w:t>
      </w:r>
      <w:r w:rsidRPr="00D43A6D">
        <w:t xml:space="preserve"> дебиторской задолженности</w:t>
      </w:r>
      <w:r w:rsidR="00E53D8A">
        <w:t xml:space="preserve"> по расходам</w:t>
      </w:r>
      <w:r>
        <w:t xml:space="preserve"> </w:t>
      </w:r>
      <w:r w:rsidRPr="00E53D8A">
        <w:t xml:space="preserve">сомнительной, списанию ее с балансового учета и отражению на </w:t>
      </w:r>
      <w:proofErr w:type="spellStart"/>
      <w:r w:rsidRPr="00E53D8A">
        <w:t>забалансовом</w:t>
      </w:r>
      <w:proofErr w:type="spellEnd"/>
      <w:r w:rsidRPr="00E53D8A">
        <w:t xml:space="preserve"> счете 04 «Сомнительная задолженность»</w:t>
      </w:r>
      <w:r w:rsidR="00561EA5">
        <w:t>;</w:t>
      </w:r>
    </w:p>
    <w:p w:rsidR="007C2DF1" w:rsidRDefault="00561EA5" w:rsidP="007C2DF1">
      <w:pPr>
        <w:jc w:val="both"/>
      </w:pPr>
      <w:r>
        <w:t xml:space="preserve">       о </w:t>
      </w:r>
      <w:r w:rsidR="007C2DF1" w:rsidRPr="00E53D8A">
        <w:t xml:space="preserve">признании дебиторской задолженности </w:t>
      </w:r>
      <w:r w:rsidR="00E53D8A">
        <w:t xml:space="preserve">по расходам </w:t>
      </w:r>
      <w:r w:rsidR="007C2DF1" w:rsidRPr="00E53D8A">
        <w:t>безнадежной к взысканию и списанию</w:t>
      </w:r>
      <w:r w:rsidR="007C2DF1">
        <w:t xml:space="preserve"> ее с балансового учета. </w:t>
      </w:r>
    </w:p>
    <w:p w:rsidR="00CA6402" w:rsidRDefault="00E53D8A" w:rsidP="00231A4C">
      <w:pPr>
        <w:ind w:right="-143"/>
        <w:jc w:val="both"/>
      </w:pPr>
      <w:r>
        <w:t xml:space="preserve">        2.1</w:t>
      </w:r>
      <w:r w:rsidR="00FA11C4">
        <w:t>1</w:t>
      </w:r>
      <w:r>
        <w:t xml:space="preserve">. </w:t>
      </w:r>
      <w:r w:rsidR="004E096A">
        <w:t>П</w:t>
      </w:r>
      <w:r>
        <w:t xml:space="preserve">ротокол </w:t>
      </w:r>
      <w:r w:rsidR="004E096A">
        <w:t xml:space="preserve">заседания </w:t>
      </w:r>
      <w:r>
        <w:t xml:space="preserve">Комиссии </w:t>
      </w:r>
      <w:r w:rsidR="004E096A">
        <w:t>направляется на утверждение руководителю учреждения.</w:t>
      </w:r>
      <w:r w:rsidR="00561EA5">
        <w:t xml:space="preserve"> </w:t>
      </w:r>
    </w:p>
    <w:p w:rsidR="00CA6402" w:rsidRDefault="00CA6402" w:rsidP="00231A4C">
      <w:pPr>
        <w:ind w:right="-143"/>
        <w:jc w:val="both"/>
      </w:pPr>
    </w:p>
    <w:p w:rsidR="0086525E" w:rsidRPr="00853ADF" w:rsidRDefault="0086525E" w:rsidP="000028F3">
      <w:pPr>
        <w:spacing w:line="276" w:lineRule="auto"/>
        <w:ind w:right="-143"/>
        <w:jc w:val="both"/>
        <w:rPr>
          <w:rFonts w:eastAsia="Calibri"/>
          <w:lang w:eastAsia="en-US"/>
        </w:rPr>
      </w:pPr>
    </w:p>
    <w:p w:rsidR="0086525E" w:rsidRPr="00853ADF" w:rsidRDefault="0086525E" w:rsidP="000028F3">
      <w:pPr>
        <w:spacing w:line="276" w:lineRule="auto"/>
        <w:ind w:right="-143"/>
        <w:jc w:val="both"/>
        <w:rPr>
          <w:rFonts w:eastAsia="Calibri"/>
          <w:lang w:eastAsia="en-US"/>
        </w:rPr>
      </w:pPr>
    </w:p>
    <w:p w:rsidR="0086525E" w:rsidRPr="00853ADF" w:rsidRDefault="0086525E" w:rsidP="000028F3">
      <w:pPr>
        <w:spacing w:line="276" w:lineRule="auto"/>
        <w:ind w:right="-143"/>
        <w:jc w:val="both"/>
        <w:rPr>
          <w:rFonts w:eastAsia="Calibri"/>
          <w:lang w:eastAsia="en-US"/>
        </w:rPr>
      </w:pPr>
    </w:p>
    <w:p w:rsidR="0086525E" w:rsidRPr="00853ADF" w:rsidRDefault="0086525E" w:rsidP="000028F3">
      <w:pPr>
        <w:spacing w:line="276" w:lineRule="auto"/>
        <w:ind w:right="-143"/>
        <w:jc w:val="both"/>
        <w:rPr>
          <w:rFonts w:eastAsia="Calibri"/>
          <w:lang w:eastAsia="en-US"/>
        </w:rPr>
      </w:pPr>
    </w:p>
    <w:p w:rsidR="0086525E" w:rsidRPr="00853ADF" w:rsidRDefault="0086525E" w:rsidP="000028F3">
      <w:pPr>
        <w:spacing w:line="276" w:lineRule="auto"/>
        <w:ind w:right="-143"/>
        <w:jc w:val="both"/>
        <w:rPr>
          <w:rFonts w:eastAsia="Calibri"/>
          <w:lang w:eastAsia="en-US"/>
        </w:rPr>
      </w:pPr>
    </w:p>
    <w:p w:rsidR="0086525E" w:rsidRPr="00853ADF" w:rsidRDefault="0086525E" w:rsidP="000028F3">
      <w:pPr>
        <w:spacing w:line="276" w:lineRule="auto"/>
        <w:ind w:right="-143"/>
        <w:jc w:val="both"/>
        <w:rPr>
          <w:rFonts w:eastAsia="Calibri"/>
          <w:lang w:eastAsia="en-US"/>
        </w:rPr>
      </w:pPr>
    </w:p>
    <w:p w:rsidR="0086525E" w:rsidRPr="00853ADF" w:rsidRDefault="0086525E" w:rsidP="000028F3">
      <w:pPr>
        <w:spacing w:line="276" w:lineRule="auto"/>
        <w:ind w:right="-143"/>
        <w:jc w:val="both"/>
        <w:rPr>
          <w:rFonts w:eastAsia="Calibri"/>
          <w:lang w:eastAsia="en-US"/>
        </w:rPr>
      </w:pPr>
    </w:p>
    <w:p w:rsidR="00853ADF" w:rsidRPr="00853ADF" w:rsidRDefault="00853ADF" w:rsidP="000028F3">
      <w:pPr>
        <w:spacing w:line="276" w:lineRule="auto"/>
        <w:ind w:right="-143"/>
        <w:jc w:val="both"/>
        <w:rPr>
          <w:rFonts w:eastAsia="Calibri"/>
          <w:lang w:eastAsia="en-US"/>
        </w:rPr>
      </w:pPr>
    </w:p>
    <w:sectPr w:rsidR="00853ADF" w:rsidRPr="00853ADF" w:rsidSect="000028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733B6"/>
    <w:multiLevelType w:val="multilevel"/>
    <w:tmpl w:val="CD0E20F4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1C"/>
    <w:rsid w:val="00000DB2"/>
    <w:rsid w:val="000028F3"/>
    <w:rsid w:val="00044219"/>
    <w:rsid w:val="00054159"/>
    <w:rsid w:val="00056D8D"/>
    <w:rsid w:val="00064918"/>
    <w:rsid w:val="00085D4A"/>
    <w:rsid w:val="000C2607"/>
    <w:rsid w:val="000E374D"/>
    <w:rsid w:val="000E7B8C"/>
    <w:rsid w:val="00122100"/>
    <w:rsid w:val="001523BC"/>
    <w:rsid w:val="0015766B"/>
    <w:rsid w:val="00173DA6"/>
    <w:rsid w:val="0018368C"/>
    <w:rsid w:val="001D2666"/>
    <w:rsid w:val="00200CD6"/>
    <w:rsid w:val="00226BE7"/>
    <w:rsid w:val="00231A4C"/>
    <w:rsid w:val="00244546"/>
    <w:rsid w:val="002D7243"/>
    <w:rsid w:val="00316DC8"/>
    <w:rsid w:val="00332F28"/>
    <w:rsid w:val="003428DC"/>
    <w:rsid w:val="00351A95"/>
    <w:rsid w:val="0036056C"/>
    <w:rsid w:val="00375C58"/>
    <w:rsid w:val="003876EF"/>
    <w:rsid w:val="003C24F8"/>
    <w:rsid w:val="003F3F52"/>
    <w:rsid w:val="004065F4"/>
    <w:rsid w:val="00411B52"/>
    <w:rsid w:val="00427DF5"/>
    <w:rsid w:val="00430621"/>
    <w:rsid w:val="004350B3"/>
    <w:rsid w:val="00441AC7"/>
    <w:rsid w:val="00490F42"/>
    <w:rsid w:val="00492B1E"/>
    <w:rsid w:val="004A4176"/>
    <w:rsid w:val="004D4321"/>
    <w:rsid w:val="004E096A"/>
    <w:rsid w:val="00502EC4"/>
    <w:rsid w:val="005030B7"/>
    <w:rsid w:val="00521F48"/>
    <w:rsid w:val="005578A6"/>
    <w:rsid w:val="00561EA5"/>
    <w:rsid w:val="00592036"/>
    <w:rsid w:val="00597CC3"/>
    <w:rsid w:val="005A261E"/>
    <w:rsid w:val="005C54EE"/>
    <w:rsid w:val="005F2AFE"/>
    <w:rsid w:val="00631B15"/>
    <w:rsid w:val="00663C0E"/>
    <w:rsid w:val="00663FA6"/>
    <w:rsid w:val="006D3CD3"/>
    <w:rsid w:val="006D5442"/>
    <w:rsid w:val="0072166E"/>
    <w:rsid w:val="0074675C"/>
    <w:rsid w:val="00765806"/>
    <w:rsid w:val="00784708"/>
    <w:rsid w:val="00791F27"/>
    <w:rsid w:val="007B1729"/>
    <w:rsid w:val="007B3B4C"/>
    <w:rsid w:val="007C2DF1"/>
    <w:rsid w:val="007C729B"/>
    <w:rsid w:val="00830DB6"/>
    <w:rsid w:val="00837A4E"/>
    <w:rsid w:val="00853ADF"/>
    <w:rsid w:val="0086525E"/>
    <w:rsid w:val="00885227"/>
    <w:rsid w:val="008A0529"/>
    <w:rsid w:val="008B2783"/>
    <w:rsid w:val="008F3716"/>
    <w:rsid w:val="009161F0"/>
    <w:rsid w:val="00920060"/>
    <w:rsid w:val="00934F7D"/>
    <w:rsid w:val="0093630B"/>
    <w:rsid w:val="00946AE0"/>
    <w:rsid w:val="00991118"/>
    <w:rsid w:val="009A546D"/>
    <w:rsid w:val="009C2083"/>
    <w:rsid w:val="009C3860"/>
    <w:rsid w:val="009C6FC2"/>
    <w:rsid w:val="00A073B7"/>
    <w:rsid w:val="00A51F8B"/>
    <w:rsid w:val="00A94CB3"/>
    <w:rsid w:val="00AA6718"/>
    <w:rsid w:val="00AE66CE"/>
    <w:rsid w:val="00AF4B1C"/>
    <w:rsid w:val="00B149A5"/>
    <w:rsid w:val="00B213A7"/>
    <w:rsid w:val="00B30645"/>
    <w:rsid w:val="00B34B18"/>
    <w:rsid w:val="00B350BE"/>
    <w:rsid w:val="00B546A2"/>
    <w:rsid w:val="00B63D46"/>
    <w:rsid w:val="00B648E7"/>
    <w:rsid w:val="00C21083"/>
    <w:rsid w:val="00CA6402"/>
    <w:rsid w:val="00CA79CE"/>
    <w:rsid w:val="00CB69C4"/>
    <w:rsid w:val="00CD69B3"/>
    <w:rsid w:val="00D53B70"/>
    <w:rsid w:val="00D5692B"/>
    <w:rsid w:val="00D77B6D"/>
    <w:rsid w:val="00DB462B"/>
    <w:rsid w:val="00DC6E76"/>
    <w:rsid w:val="00DE478A"/>
    <w:rsid w:val="00E2531A"/>
    <w:rsid w:val="00E53D8A"/>
    <w:rsid w:val="00E5535D"/>
    <w:rsid w:val="00EB3811"/>
    <w:rsid w:val="00EB5E3E"/>
    <w:rsid w:val="00EC50DA"/>
    <w:rsid w:val="00ED4595"/>
    <w:rsid w:val="00ED68E9"/>
    <w:rsid w:val="00F05B3E"/>
    <w:rsid w:val="00F148CD"/>
    <w:rsid w:val="00F15123"/>
    <w:rsid w:val="00F30905"/>
    <w:rsid w:val="00F3442E"/>
    <w:rsid w:val="00F41DD5"/>
    <w:rsid w:val="00F62B8E"/>
    <w:rsid w:val="00FA11C4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443F4-7ABB-47DC-B801-56C66CB3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7CC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97C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A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A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65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FFD359A715B1216DA336EBF840E6846D31731FAC3448C96DD4499A84B3874B13D063E8FFE750C60D8B179248E20475E52D308FC3C60123F8D3E83A6AR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5818-1672-4B4B-8D30-5792DDDD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</cp:lastModifiedBy>
  <cp:revision>41</cp:revision>
  <cp:lastPrinted>2024-10-03T15:22:00Z</cp:lastPrinted>
  <dcterms:created xsi:type="dcterms:W3CDTF">2021-03-09T05:29:00Z</dcterms:created>
  <dcterms:modified xsi:type="dcterms:W3CDTF">2024-10-03T15:50:00Z</dcterms:modified>
</cp:coreProperties>
</file>