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401906" w:rsidP="00DD357C">
      <w:pPr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03A7EB42" wp14:editId="5BF8EA76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DD357C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Pr="00DD357C" w:rsidRDefault="00DD357C" w:rsidP="00DD357C">
      <w:pPr>
        <w:jc w:val="center"/>
        <w:rPr>
          <w:rFonts w:ascii="Times New Roman" w:hAnsi="Times New Roman" w:cs="Times New Roman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145382" w:rsidRDefault="00145382" w:rsidP="00145382">
      <w:pPr>
        <w:pStyle w:val="ConsPlusNonformat"/>
        <w:widowControl/>
        <w:tabs>
          <w:tab w:val="left" w:pos="5670"/>
          <w:tab w:val="left" w:pos="992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B95" w:rsidRDefault="00DB5B95" w:rsidP="00145382">
      <w:pPr>
        <w:pStyle w:val="ConsPlusNonformat"/>
        <w:widowControl/>
        <w:tabs>
          <w:tab w:val="left" w:pos="5670"/>
          <w:tab w:val="left" w:pos="992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DFB" w:rsidRDefault="00145382" w:rsidP="00145382">
      <w:pPr>
        <w:pStyle w:val="ConsPlusNonformat"/>
        <w:widowControl/>
        <w:tabs>
          <w:tab w:val="left" w:pos="5670"/>
          <w:tab w:val="left" w:pos="992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155">
        <w:rPr>
          <w:rFonts w:ascii="Times New Roman" w:hAnsi="Times New Roman" w:cs="Times New Roman"/>
          <w:b/>
          <w:sz w:val="24"/>
          <w:szCs w:val="24"/>
        </w:rPr>
        <w:t xml:space="preserve">О прогнозе социально-экономического развития </w:t>
      </w:r>
      <w:r w:rsidR="00DB5B95">
        <w:rPr>
          <w:rFonts w:ascii="Times New Roman" w:hAnsi="Times New Roman" w:cs="Times New Roman"/>
          <w:b/>
          <w:sz w:val="24"/>
          <w:szCs w:val="24"/>
        </w:rPr>
        <w:t xml:space="preserve">городского округа Воскресенск </w:t>
      </w:r>
    </w:p>
    <w:p w:rsidR="00145382" w:rsidRPr="00E6304E" w:rsidRDefault="00145382" w:rsidP="00145382">
      <w:pPr>
        <w:pStyle w:val="ConsPlusNonformat"/>
        <w:widowControl/>
        <w:tabs>
          <w:tab w:val="left" w:pos="5670"/>
          <w:tab w:val="left" w:pos="992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155">
        <w:rPr>
          <w:rFonts w:ascii="Times New Roman" w:hAnsi="Times New Roman" w:cs="Times New Roman"/>
          <w:b/>
          <w:sz w:val="24"/>
          <w:szCs w:val="24"/>
        </w:rPr>
        <w:t xml:space="preserve">Московской области на </w:t>
      </w:r>
      <w:r w:rsidR="00713880">
        <w:rPr>
          <w:rFonts w:ascii="Times New Roman" w:hAnsi="Times New Roman" w:cs="Times New Roman"/>
          <w:b/>
          <w:sz w:val="24"/>
          <w:szCs w:val="24"/>
        </w:rPr>
        <w:t xml:space="preserve">среднесрочный период </w:t>
      </w:r>
      <w:r w:rsidRPr="00E6304E">
        <w:rPr>
          <w:rFonts w:ascii="Times New Roman" w:hAnsi="Times New Roman" w:cs="Times New Roman"/>
          <w:b/>
          <w:sz w:val="24"/>
          <w:szCs w:val="24"/>
        </w:rPr>
        <w:t>202</w:t>
      </w:r>
      <w:r w:rsidR="00FA5589">
        <w:rPr>
          <w:rFonts w:ascii="Times New Roman" w:hAnsi="Times New Roman" w:cs="Times New Roman"/>
          <w:b/>
          <w:sz w:val="24"/>
          <w:szCs w:val="24"/>
        </w:rPr>
        <w:t>6</w:t>
      </w:r>
      <w:r w:rsidRPr="00E6304E">
        <w:rPr>
          <w:rFonts w:ascii="Times New Roman" w:hAnsi="Times New Roman" w:cs="Times New Roman"/>
          <w:b/>
          <w:sz w:val="24"/>
          <w:szCs w:val="24"/>
        </w:rPr>
        <w:t>-202</w:t>
      </w:r>
      <w:r w:rsidR="00FA5589">
        <w:rPr>
          <w:rFonts w:ascii="Times New Roman" w:hAnsi="Times New Roman" w:cs="Times New Roman"/>
          <w:b/>
          <w:sz w:val="24"/>
          <w:szCs w:val="24"/>
        </w:rPr>
        <w:t>8</w:t>
      </w:r>
      <w:r w:rsidR="00713880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145382" w:rsidRPr="00E6304E" w:rsidRDefault="00145382" w:rsidP="00145382">
      <w:pPr>
        <w:pStyle w:val="ConsPlusNonformat"/>
        <w:widowControl/>
        <w:tabs>
          <w:tab w:val="left" w:pos="5670"/>
          <w:tab w:val="left" w:pos="992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45382" w:rsidRDefault="00145382" w:rsidP="00145382">
      <w:pPr>
        <w:pStyle w:val="ConsPlusNonformat"/>
        <w:widowControl/>
        <w:tabs>
          <w:tab w:val="left" w:pos="5670"/>
          <w:tab w:val="left" w:pos="992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137A5" w:rsidRDefault="00B137A5" w:rsidP="00145382">
      <w:pPr>
        <w:pStyle w:val="ConsPlusNonformat"/>
        <w:widowControl/>
        <w:tabs>
          <w:tab w:val="left" w:pos="5670"/>
          <w:tab w:val="left" w:pos="992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45382" w:rsidRPr="00066167" w:rsidRDefault="00145382" w:rsidP="001453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096009">
        <w:rPr>
          <w:rFonts w:ascii="Times New Roman" w:hAnsi="Times New Roman" w:cs="Times New Roman"/>
          <w:sz w:val="24"/>
          <w:szCs w:val="24"/>
        </w:rPr>
        <w:t xml:space="preserve">о статьей </w:t>
      </w:r>
      <w:r w:rsidR="00047473">
        <w:rPr>
          <w:rFonts w:ascii="Times New Roman" w:hAnsi="Times New Roman" w:cs="Times New Roman"/>
          <w:sz w:val="24"/>
          <w:szCs w:val="24"/>
        </w:rPr>
        <w:t>173</w:t>
      </w:r>
      <w:r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047473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04747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DB5B95">
        <w:rPr>
          <w:rFonts w:ascii="Times New Roman" w:hAnsi="Times New Roman" w:cs="Times New Roman"/>
          <w:sz w:val="24"/>
          <w:szCs w:val="24"/>
        </w:rPr>
        <w:t xml:space="preserve">, </w:t>
      </w:r>
      <w:r w:rsidR="00B72AA2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047473">
        <w:rPr>
          <w:rFonts w:ascii="Times New Roman" w:hAnsi="Times New Roman" w:cs="Times New Roman"/>
          <w:sz w:val="24"/>
          <w:szCs w:val="24"/>
        </w:rPr>
        <w:t xml:space="preserve">от 28.06.2014 </w:t>
      </w:r>
      <w:r w:rsidR="00B72AA2">
        <w:rPr>
          <w:rFonts w:ascii="Times New Roman" w:hAnsi="Times New Roman" w:cs="Times New Roman"/>
          <w:sz w:val="24"/>
          <w:szCs w:val="24"/>
        </w:rPr>
        <w:t>№</w:t>
      </w:r>
      <w:r w:rsidR="00212C83">
        <w:rPr>
          <w:rFonts w:ascii="Times New Roman" w:hAnsi="Times New Roman" w:cs="Times New Roman"/>
          <w:sz w:val="24"/>
          <w:szCs w:val="24"/>
        </w:rPr>
        <w:t xml:space="preserve"> </w:t>
      </w:r>
      <w:r w:rsidR="00B72AA2">
        <w:rPr>
          <w:rFonts w:ascii="Times New Roman" w:hAnsi="Times New Roman" w:cs="Times New Roman"/>
          <w:sz w:val="24"/>
          <w:szCs w:val="24"/>
        </w:rPr>
        <w:t>172-ФЗ «О стратегическом планировании в Российской Федерации»</w:t>
      </w:r>
      <w:r w:rsidR="00880362">
        <w:rPr>
          <w:rFonts w:ascii="Times New Roman" w:hAnsi="Times New Roman" w:cs="Times New Roman"/>
          <w:sz w:val="24"/>
          <w:szCs w:val="24"/>
        </w:rPr>
        <w:t>, Порядком разработки, корректировки, осуществления мониторинга и контроля реализации прогноза социально-экономического развития городского округа Воскресенск Московской области на среднесрочный период, утвержденн</w:t>
      </w:r>
      <w:r w:rsidR="00FB1165">
        <w:rPr>
          <w:rFonts w:ascii="Times New Roman" w:hAnsi="Times New Roman" w:cs="Times New Roman"/>
          <w:sz w:val="24"/>
          <w:szCs w:val="24"/>
        </w:rPr>
        <w:t>ым</w:t>
      </w:r>
      <w:r w:rsidR="00880362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городского округа Воскресенск Московской области от 16.0</w:t>
      </w:r>
      <w:r w:rsidR="00E47D5F">
        <w:rPr>
          <w:rFonts w:ascii="Times New Roman" w:hAnsi="Times New Roman" w:cs="Times New Roman"/>
          <w:sz w:val="24"/>
          <w:szCs w:val="24"/>
        </w:rPr>
        <w:t>7</w:t>
      </w:r>
      <w:r w:rsidR="00880362">
        <w:rPr>
          <w:rFonts w:ascii="Times New Roman" w:hAnsi="Times New Roman" w:cs="Times New Roman"/>
          <w:sz w:val="24"/>
          <w:szCs w:val="24"/>
        </w:rPr>
        <w:t>.2020 №</w:t>
      </w:r>
      <w:r w:rsidR="00212C83">
        <w:rPr>
          <w:rFonts w:ascii="Times New Roman" w:hAnsi="Times New Roman" w:cs="Times New Roman"/>
          <w:sz w:val="24"/>
          <w:szCs w:val="24"/>
        </w:rPr>
        <w:t xml:space="preserve"> </w:t>
      </w:r>
      <w:r w:rsidR="00880362">
        <w:rPr>
          <w:rFonts w:ascii="Times New Roman" w:hAnsi="Times New Roman" w:cs="Times New Roman"/>
          <w:sz w:val="24"/>
          <w:szCs w:val="24"/>
        </w:rPr>
        <w:t>2318</w:t>
      </w:r>
      <w:r w:rsidR="005E094A">
        <w:rPr>
          <w:rFonts w:ascii="Times New Roman" w:hAnsi="Times New Roman" w:cs="Times New Roman"/>
          <w:sz w:val="24"/>
          <w:szCs w:val="24"/>
        </w:rPr>
        <w:t xml:space="preserve"> (</w:t>
      </w:r>
      <w:r w:rsidR="00713880">
        <w:rPr>
          <w:rFonts w:ascii="Times New Roman" w:hAnsi="Times New Roman" w:cs="Times New Roman"/>
          <w:sz w:val="24"/>
          <w:szCs w:val="24"/>
        </w:rPr>
        <w:t>с изменениями от 22.06.2023 № 3378)</w:t>
      </w:r>
      <w:r w:rsidR="00B23488">
        <w:rPr>
          <w:rFonts w:ascii="Times New Roman" w:hAnsi="Times New Roman" w:cs="Times New Roman"/>
          <w:sz w:val="24"/>
          <w:szCs w:val="24"/>
        </w:rPr>
        <w:t>,</w:t>
      </w:r>
    </w:p>
    <w:p w:rsidR="00145382" w:rsidRDefault="00145382" w:rsidP="00145382">
      <w:pPr>
        <w:pStyle w:val="ConsPlusNonformat"/>
        <w:widowControl/>
        <w:tabs>
          <w:tab w:val="left" w:pos="5670"/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45382" w:rsidRDefault="00145382" w:rsidP="00145382">
      <w:pPr>
        <w:pStyle w:val="ConsPlusNonformat"/>
        <w:widowControl/>
        <w:tabs>
          <w:tab w:val="left" w:pos="5670"/>
          <w:tab w:val="left" w:pos="992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45382" w:rsidRDefault="00145382" w:rsidP="00145382">
      <w:pPr>
        <w:pStyle w:val="ConsPlusNonformat"/>
        <w:widowControl/>
        <w:tabs>
          <w:tab w:val="left" w:pos="5670"/>
          <w:tab w:val="left" w:pos="992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65AA5" w:rsidRDefault="00547A92" w:rsidP="00C406D5">
      <w:pPr>
        <w:pStyle w:val="ConsPlu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Одобрить</w:t>
      </w:r>
      <w:r w:rsidR="00145382">
        <w:rPr>
          <w:rFonts w:ascii="Times New Roman" w:hAnsi="Times New Roman" w:cs="Times New Roman"/>
          <w:sz w:val="24"/>
          <w:szCs w:val="24"/>
        </w:rPr>
        <w:t xml:space="preserve"> прогноз социально-экономического развит</w:t>
      </w:r>
      <w:r w:rsidR="00F66DB5">
        <w:rPr>
          <w:rFonts w:ascii="Times New Roman" w:hAnsi="Times New Roman" w:cs="Times New Roman"/>
          <w:sz w:val="24"/>
          <w:szCs w:val="24"/>
        </w:rPr>
        <w:t>ия городского округа Воскресенск Московской области</w:t>
      </w:r>
      <w:r w:rsidR="00145382" w:rsidRPr="008D7155">
        <w:rPr>
          <w:rFonts w:ascii="Times New Roman" w:hAnsi="Times New Roman" w:cs="Times New Roman"/>
          <w:sz w:val="24"/>
          <w:szCs w:val="24"/>
        </w:rPr>
        <w:t xml:space="preserve"> на </w:t>
      </w:r>
      <w:r w:rsidR="00713880">
        <w:rPr>
          <w:rFonts w:ascii="Times New Roman" w:hAnsi="Times New Roman" w:cs="Times New Roman"/>
          <w:sz w:val="24"/>
          <w:szCs w:val="24"/>
        </w:rPr>
        <w:t xml:space="preserve">среднесрочный период </w:t>
      </w:r>
      <w:r w:rsidR="00145382" w:rsidRPr="00E6304E">
        <w:rPr>
          <w:rFonts w:ascii="Times New Roman" w:hAnsi="Times New Roman" w:cs="Times New Roman"/>
          <w:sz w:val="24"/>
          <w:szCs w:val="24"/>
        </w:rPr>
        <w:t>202</w:t>
      </w:r>
      <w:r w:rsidR="00FA5589">
        <w:rPr>
          <w:rFonts w:ascii="Times New Roman" w:hAnsi="Times New Roman" w:cs="Times New Roman"/>
          <w:sz w:val="24"/>
          <w:szCs w:val="24"/>
        </w:rPr>
        <w:t>6</w:t>
      </w:r>
      <w:r w:rsidR="00145382" w:rsidRPr="00E6304E">
        <w:rPr>
          <w:rFonts w:ascii="Times New Roman" w:hAnsi="Times New Roman" w:cs="Times New Roman"/>
          <w:sz w:val="24"/>
          <w:szCs w:val="24"/>
        </w:rPr>
        <w:t>-202</w:t>
      </w:r>
      <w:r w:rsidR="00FA5589">
        <w:rPr>
          <w:rFonts w:ascii="Times New Roman" w:hAnsi="Times New Roman" w:cs="Times New Roman"/>
          <w:sz w:val="24"/>
          <w:szCs w:val="24"/>
        </w:rPr>
        <w:t>8</w:t>
      </w:r>
      <w:r w:rsidR="00145382" w:rsidRPr="00E6304E">
        <w:rPr>
          <w:rFonts w:ascii="Times New Roman" w:hAnsi="Times New Roman" w:cs="Times New Roman"/>
          <w:sz w:val="24"/>
          <w:szCs w:val="24"/>
        </w:rPr>
        <w:t xml:space="preserve"> </w:t>
      </w:r>
      <w:r w:rsidR="00003ADD">
        <w:rPr>
          <w:rFonts w:ascii="Times New Roman" w:hAnsi="Times New Roman" w:cs="Times New Roman"/>
          <w:sz w:val="24"/>
          <w:szCs w:val="24"/>
        </w:rPr>
        <w:t>год</w:t>
      </w:r>
      <w:r w:rsidR="00713880">
        <w:rPr>
          <w:rFonts w:ascii="Times New Roman" w:hAnsi="Times New Roman" w:cs="Times New Roman"/>
          <w:sz w:val="24"/>
          <w:szCs w:val="24"/>
        </w:rPr>
        <w:t>ов</w:t>
      </w:r>
      <w:r w:rsidR="00C406D5">
        <w:rPr>
          <w:rFonts w:ascii="Times New Roman" w:hAnsi="Times New Roman" w:cs="Times New Roman"/>
          <w:sz w:val="24"/>
          <w:szCs w:val="24"/>
        </w:rPr>
        <w:t xml:space="preserve">. (Приложение.) </w:t>
      </w:r>
    </w:p>
    <w:p w:rsidR="00880362" w:rsidRDefault="00F65AA5" w:rsidP="00C406D5">
      <w:pPr>
        <w:pStyle w:val="ConsPlusNonformat"/>
        <w:widowControl/>
        <w:numPr>
          <w:ilvl w:val="0"/>
          <w:numId w:val="4"/>
        </w:numPr>
        <w:tabs>
          <w:tab w:val="left" w:pos="993"/>
          <w:tab w:val="left" w:pos="992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Финансовому управлению Администрации городского округа Воскресенск</w:t>
      </w:r>
      <w:r w:rsidR="004337C6">
        <w:rPr>
          <w:rFonts w:ascii="Times New Roman" w:hAnsi="Times New Roman" w:cs="Times New Roman"/>
          <w:sz w:val="24"/>
          <w:szCs w:val="24"/>
        </w:rPr>
        <w:t xml:space="preserve"> (Бондарева Е.А.)</w:t>
      </w:r>
      <w:r>
        <w:rPr>
          <w:rFonts w:ascii="Times New Roman" w:hAnsi="Times New Roman" w:cs="Times New Roman"/>
          <w:sz w:val="24"/>
          <w:szCs w:val="24"/>
        </w:rPr>
        <w:t xml:space="preserve"> представить прогноз</w:t>
      </w:r>
      <w:r w:rsidR="00547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социально-экономического развития городского округа Воскресенск Московской области</w:t>
      </w:r>
      <w:r w:rsidRPr="008D715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среднесрочный период </w:t>
      </w:r>
      <w:r w:rsidRPr="00E6304E">
        <w:rPr>
          <w:rFonts w:ascii="Times New Roman" w:hAnsi="Times New Roman" w:cs="Times New Roman"/>
          <w:sz w:val="24"/>
          <w:szCs w:val="24"/>
        </w:rPr>
        <w:t>202</w:t>
      </w:r>
      <w:r w:rsidR="00FA5589">
        <w:rPr>
          <w:rFonts w:ascii="Times New Roman" w:hAnsi="Times New Roman" w:cs="Times New Roman"/>
          <w:sz w:val="24"/>
          <w:szCs w:val="24"/>
        </w:rPr>
        <w:t>6</w:t>
      </w:r>
      <w:r w:rsidRPr="00E6304E">
        <w:rPr>
          <w:rFonts w:ascii="Times New Roman" w:hAnsi="Times New Roman" w:cs="Times New Roman"/>
          <w:sz w:val="24"/>
          <w:szCs w:val="24"/>
        </w:rPr>
        <w:t>-202</w:t>
      </w:r>
      <w:r w:rsidR="00FA5589">
        <w:rPr>
          <w:rFonts w:ascii="Times New Roman" w:hAnsi="Times New Roman" w:cs="Times New Roman"/>
          <w:sz w:val="24"/>
          <w:szCs w:val="24"/>
        </w:rPr>
        <w:t>8</w:t>
      </w:r>
      <w:r w:rsidRPr="00E63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годов в Совет</w:t>
      </w:r>
      <w:r w:rsidR="00547A92">
        <w:rPr>
          <w:rFonts w:ascii="Times New Roman" w:hAnsi="Times New Roman" w:cs="Times New Roman"/>
          <w:sz w:val="24"/>
          <w:szCs w:val="24"/>
        </w:rPr>
        <w:t xml:space="preserve"> депутатов городского округа Воскресенск </w:t>
      </w:r>
      <w:r>
        <w:rPr>
          <w:rFonts w:ascii="Times New Roman" w:hAnsi="Times New Roman" w:cs="Times New Roman"/>
          <w:sz w:val="24"/>
          <w:szCs w:val="24"/>
        </w:rPr>
        <w:t xml:space="preserve">одновременно </w:t>
      </w:r>
      <w:r w:rsidR="00547A92">
        <w:rPr>
          <w:rFonts w:ascii="Times New Roman" w:hAnsi="Times New Roman" w:cs="Times New Roman"/>
          <w:sz w:val="24"/>
          <w:szCs w:val="24"/>
        </w:rPr>
        <w:t>с проектом бюджета городского округа Воскресенск на 202</w:t>
      </w:r>
      <w:r w:rsidR="00FA5589">
        <w:rPr>
          <w:rFonts w:ascii="Times New Roman" w:hAnsi="Times New Roman" w:cs="Times New Roman"/>
          <w:sz w:val="24"/>
          <w:szCs w:val="24"/>
        </w:rPr>
        <w:t>6</w:t>
      </w:r>
      <w:r w:rsidR="00547A9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FA5589">
        <w:rPr>
          <w:rFonts w:ascii="Times New Roman" w:hAnsi="Times New Roman" w:cs="Times New Roman"/>
          <w:sz w:val="24"/>
          <w:szCs w:val="24"/>
        </w:rPr>
        <w:t>7</w:t>
      </w:r>
      <w:r w:rsidR="00547A92">
        <w:rPr>
          <w:rFonts w:ascii="Times New Roman" w:hAnsi="Times New Roman" w:cs="Times New Roman"/>
          <w:sz w:val="24"/>
          <w:szCs w:val="24"/>
        </w:rPr>
        <w:t xml:space="preserve"> и 202</w:t>
      </w:r>
      <w:r w:rsidR="00FA5589">
        <w:rPr>
          <w:rFonts w:ascii="Times New Roman" w:hAnsi="Times New Roman" w:cs="Times New Roman"/>
          <w:sz w:val="24"/>
          <w:szCs w:val="24"/>
        </w:rPr>
        <w:t>8</w:t>
      </w:r>
      <w:r w:rsidR="00547A9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F66DB5" w:rsidRDefault="00F65AA5" w:rsidP="00F66DB5">
      <w:pPr>
        <w:pStyle w:val="ConsPlusNonformat"/>
        <w:widowControl/>
        <w:tabs>
          <w:tab w:val="left" w:pos="5670"/>
          <w:tab w:val="left" w:pos="992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66DB5">
        <w:rPr>
          <w:rFonts w:ascii="Times New Roman" w:hAnsi="Times New Roman" w:cs="Times New Roman"/>
          <w:sz w:val="24"/>
          <w:szCs w:val="24"/>
        </w:rPr>
        <w:t>.</w:t>
      </w:r>
      <w:r w:rsidR="00F82E97">
        <w:rPr>
          <w:rFonts w:ascii="Times New Roman" w:hAnsi="Times New Roman" w:cs="Times New Roman"/>
          <w:sz w:val="24"/>
          <w:szCs w:val="24"/>
        </w:rPr>
        <w:t xml:space="preserve"> </w:t>
      </w:r>
      <w:r w:rsidR="004337C6">
        <w:rPr>
          <w:rFonts w:ascii="Times New Roman" w:hAnsi="Times New Roman" w:cs="Times New Roman"/>
          <w:sz w:val="24"/>
          <w:szCs w:val="24"/>
        </w:rPr>
        <w:t>Управлению экономики Администрации городского округа Воскресенск (Ефремова О.М.) р</w:t>
      </w:r>
      <w:r w:rsidR="00F66DB5">
        <w:rPr>
          <w:rFonts w:ascii="Times New Roman" w:hAnsi="Times New Roman" w:cs="Times New Roman"/>
          <w:sz w:val="24"/>
          <w:szCs w:val="24"/>
        </w:rPr>
        <w:t>азместить прогноз социально-экономического развития городского округа Воскресенск Московской области</w:t>
      </w:r>
      <w:r w:rsidR="00F66DB5" w:rsidRPr="008D7155">
        <w:rPr>
          <w:rFonts w:ascii="Times New Roman" w:hAnsi="Times New Roman" w:cs="Times New Roman"/>
          <w:sz w:val="24"/>
          <w:szCs w:val="24"/>
        </w:rPr>
        <w:t xml:space="preserve"> </w:t>
      </w:r>
      <w:r w:rsidR="00713880" w:rsidRPr="008D7155">
        <w:rPr>
          <w:rFonts w:ascii="Times New Roman" w:hAnsi="Times New Roman" w:cs="Times New Roman"/>
          <w:sz w:val="24"/>
          <w:szCs w:val="24"/>
        </w:rPr>
        <w:t xml:space="preserve">на </w:t>
      </w:r>
      <w:r w:rsidR="00713880">
        <w:rPr>
          <w:rFonts w:ascii="Times New Roman" w:hAnsi="Times New Roman" w:cs="Times New Roman"/>
          <w:sz w:val="24"/>
          <w:szCs w:val="24"/>
        </w:rPr>
        <w:t xml:space="preserve">среднесрочный период </w:t>
      </w:r>
      <w:r w:rsidR="00713880" w:rsidRPr="00E6304E">
        <w:rPr>
          <w:rFonts w:ascii="Times New Roman" w:hAnsi="Times New Roman" w:cs="Times New Roman"/>
          <w:sz w:val="24"/>
          <w:szCs w:val="24"/>
        </w:rPr>
        <w:t>202</w:t>
      </w:r>
      <w:r w:rsidR="00FA5589">
        <w:rPr>
          <w:rFonts w:ascii="Times New Roman" w:hAnsi="Times New Roman" w:cs="Times New Roman"/>
          <w:sz w:val="24"/>
          <w:szCs w:val="24"/>
        </w:rPr>
        <w:t>6</w:t>
      </w:r>
      <w:r w:rsidR="00713880" w:rsidRPr="00E6304E">
        <w:rPr>
          <w:rFonts w:ascii="Times New Roman" w:hAnsi="Times New Roman" w:cs="Times New Roman"/>
          <w:sz w:val="24"/>
          <w:szCs w:val="24"/>
        </w:rPr>
        <w:t>-202</w:t>
      </w:r>
      <w:r w:rsidR="00FA5589">
        <w:rPr>
          <w:rFonts w:ascii="Times New Roman" w:hAnsi="Times New Roman" w:cs="Times New Roman"/>
          <w:sz w:val="24"/>
          <w:szCs w:val="24"/>
        </w:rPr>
        <w:t>8</w:t>
      </w:r>
      <w:r w:rsidR="00713880" w:rsidRPr="00E6304E">
        <w:rPr>
          <w:rFonts w:ascii="Times New Roman" w:hAnsi="Times New Roman" w:cs="Times New Roman"/>
          <w:sz w:val="24"/>
          <w:szCs w:val="24"/>
        </w:rPr>
        <w:t xml:space="preserve"> </w:t>
      </w:r>
      <w:r w:rsidR="00713880">
        <w:rPr>
          <w:rFonts w:ascii="Times New Roman" w:hAnsi="Times New Roman" w:cs="Times New Roman"/>
          <w:sz w:val="24"/>
          <w:szCs w:val="24"/>
        </w:rPr>
        <w:t>годов</w:t>
      </w:r>
      <w:r w:rsidR="00F66DB5">
        <w:rPr>
          <w:rFonts w:ascii="Times New Roman" w:hAnsi="Times New Roman" w:cs="Times New Roman"/>
          <w:sz w:val="24"/>
          <w:szCs w:val="24"/>
        </w:rPr>
        <w:t xml:space="preserve"> на официальном сайте городского округа Воскресенск Московской области в разделе «Экономика».</w:t>
      </w:r>
    </w:p>
    <w:p w:rsidR="00424DFB" w:rsidRPr="005213F8" w:rsidRDefault="00F65AA5" w:rsidP="00CA43E6">
      <w:pPr>
        <w:pStyle w:val="ConsPlusNonformat"/>
        <w:widowControl/>
        <w:tabs>
          <w:tab w:val="left" w:pos="5670"/>
          <w:tab w:val="left" w:pos="9923"/>
        </w:tabs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213F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45382" w:rsidRPr="005213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C6BF1" w:rsidRPr="005213F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Контроль за исполнением настоящего постановления </w:t>
      </w:r>
      <w:r w:rsidR="008E0389" w:rsidRPr="006D3844">
        <w:rPr>
          <w:rFonts w:ascii="Times New Roman" w:eastAsia="Calibri" w:hAnsi="Times New Roman" w:cs="Times New Roman"/>
          <w:bCs/>
          <w:sz w:val="24"/>
          <w:szCs w:val="24"/>
        </w:rPr>
        <w:t>оставляю за собой</w:t>
      </w:r>
      <w:r w:rsidR="00CA43E6" w:rsidRPr="005213F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</w:p>
    <w:p w:rsidR="00CA43E6" w:rsidRPr="005213F8" w:rsidRDefault="00CA43E6" w:rsidP="00CA43E6">
      <w:pPr>
        <w:pStyle w:val="ConsPlusNonformat"/>
        <w:widowControl/>
        <w:tabs>
          <w:tab w:val="left" w:pos="5670"/>
          <w:tab w:val="left" w:pos="9923"/>
        </w:tabs>
        <w:ind w:firstLine="709"/>
        <w:jc w:val="both"/>
        <w:rPr>
          <w:b/>
          <w:color w:val="000000" w:themeColor="text1"/>
          <w:sz w:val="24"/>
          <w:szCs w:val="24"/>
        </w:rPr>
      </w:pPr>
    </w:p>
    <w:p w:rsidR="003F377C" w:rsidRPr="005213F8" w:rsidRDefault="003F377C" w:rsidP="00CA43E6">
      <w:pPr>
        <w:pStyle w:val="ConsPlusNonformat"/>
        <w:widowControl/>
        <w:tabs>
          <w:tab w:val="left" w:pos="5670"/>
          <w:tab w:val="left" w:pos="9923"/>
        </w:tabs>
        <w:ind w:firstLine="709"/>
        <w:jc w:val="both"/>
        <w:rPr>
          <w:b/>
          <w:color w:val="000000" w:themeColor="text1"/>
          <w:sz w:val="24"/>
          <w:szCs w:val="24"/>
        </w:rPr>
      </w:pPr>
    </w:p>
    <w:p w:rsidR="003F377C" w:rsidRDefault="003F377C" w:rsidP="00CA43E6">
      <w:pPr>
        <w:pStyle w:val="ConsPlusNonformat"/>
        <w:widowControl/>
        <w:tabs>
          <w:tab w:val="left" w:pos="5670"/>
          <w:tab w:val="left" w:pos="9923"/>
        </w:tabs>
        <w:ind w:firstLine="709"/>
        <w:jc w:val="both"/>
        <w:rPr>
          <w:b/>
          <w:sz w:val="24"/>
          <w:szCs w:val="24"/>
        </w:rPr>
      </w:pPr>
    </w:p>
    <w:p w:rsidR="007368A9" w:rsidRDefault="00145382" w:rsidP="007368A9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Глав</w:t>
      </w:r>
      <w:r w:rsidR="00CB118C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 xml:space="preserve"> городского округа Воскресенск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</w:t>
      </w:r>
      <w:r w:rsidR="00CA43E6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 </w:t>
      </w:r>
      <w:r w:rsidR="00CB118C">
        <w:rPr>
          <w:b w:val="0"/>
          <w:sz w:val="24"/>
          <w:szCs w:val="24"/>
        </w:rPr>
        <w:t xml:space="preserve"> </w:t>
      </w:r>
      <w:r w:rsidR="005E094A">
        <w:rPr>
          <w:b w:val="0"/>
          <w:sz w:val="24"/>
          <w:szCs w:val="24"/>
        </w:rPr>
        <w:t xml:space="preserve">              </w:t>
      </w:r>
      <w:r>
        <w:rPr>
          <w:b w:val="0"/>
          <w:sz w:val="24"/>
          <w:szCs w:val="24"/>
        </w:rPr>
        <w:t xml:space="preserve"> </w:t>
      </w:r>
      <w:r w:rsidR="00CB118C">
        <w:rPr>
          <w:b w:val="0"/>
          <w:sz w:val="24"/>
          <w:szCs w:val="24"/>
        </w:rPr>
        <w:t>А.В. Малкин</w:t>
      </w:r>
    </w:p>
    <w:p w:rsidR="00126402" w:rsidRDefault="00126402">
      <w:pPr>
        <w:rPr>
          <w:b/>
          <w:sz w:val="24"/>
          <w:szCs w:val="24"/>
        </w:rPr>
        <w:sectPr w:rsidR="00126402" w:rsidSect="00126402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:rsidR="00E00C6F" w:rsidRPr="00126402" w:rsidRDefault="00E00C6F" w:rsidP="008603FC">
      <w:pPr>
        <w:spacing w:after="0"/>
        <w:ind w:left="11328"/>
        <w:rPr>
          <w:rFonts w:ascii="Times New Roman" w:hAnsi="Times New Roman" w:cs="Times New Roman"/>
          <w:bCs/>
          <w:sz w:val="24"/>
          <w:szCs w:val="24"/>
        </w:rPr>
      </w:pPr>
      <w:r w:rsidRPr="00126402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E00C6F" w:rsidRPr="00126402" w:rsidRDefault="00E00C6F" w:rsidP="008603FC">
      <w:pPr>
        <w:pStyle w:val="a7"/>
        <w:ind w:left="11328"/>
        <w:jc w:val="left"/>
        <w:rPr>
          <w:bCs/>
        </w:rPr>
      </w:pPr>
      <w:r w:rsidRPr="00126402">
        <w:rPr>
          <w:bCs/>
        </w:rPr>
        <w:t>к постановлению Администрации</w:t>
      </w:r>
    </w:p>
    <w:p w:rsidR="00E00C6F" w:rsidRPr="00126402" w:rsidRDefault="00E00C6F" w:rsidP="00126402">
      <w:pPr>
        <w:pStyle w:val="a7"/>
        <w:ind w:left="11328"/>
        <w:jc w:val="left"/>
        <w:rPr>
          <w:bCs/>
        </w:rPr>
      </w:pPr>
      <w:r w:rsidRPr="00126402">
        <w:rPr>
          <w:bCs/>
        </w:rPr>
        <w:t>городского округа Воскресенск</w:t>
      </w:r>
    </w:p>
    <w:p w:rsidR="00E00C6F" w:rsidRPr="00126402" w:rsidRDefault="00E00C6F" w:rsidP="00126402">
      <w:pPr>
        <w:pStyle w:val="a7"/>
        <w:ind w:left="11328"/>
        <w:jc w:val="left"/>
        <w:rPr>
          <w:bCs/>
        </w:rPr>
      </w:pPr>
      <w:r w:rsidRPr="00126402">
        <w:rPr>
          <w:bCs/>
        </w:rPr>
        <w:t>Московской области</w:t>
      </w:r>
    </w:p>
    <w:p w:rsidR="00E00C6F" w:rsidRDefault="00E00C6F" w:rsidP="00126402">
      <w:pPr>
        <w:pStyle w:val="a7"/>
        <w:ind w:left="11328"/>
        <w:jc w:val="left"/>
        <w:rPr>
          <w:bCs/>
        </w:rPr>
      </w:pPr>
      <w:r w:rsidRPr="00126402">
        <w:rPr>
          <w:bCs/>
        </w:rPr>
        <w:t>от_____________№_________</w:t>
      </w:r>
    </w:p>
    <w:p w:rsidR="00126402" w:rsidRPr="00E00C6F" w:rsidRDefault="00126402" w:rsidP="00126402">
      <w:pPr>
        <w:pStyle w:val="a7"/>
        <w:jc w:val="left"/>
        <w:rPr>
          <w:bCs/>
          <w:sz w:val="22"/>
          <w:szCs w:val="22"/>
        </w:rPr>
      </w:pPr>
    </w:p>
    <w:p w:rsidR="00E00C6F" w:rsidRPr="00E00C6F" w:rsidRDefault="00E00C6F" w:rsidP="00E00C6F">
      <w:pPr>
        <w:pStyle w:val="a7"/>
        <w:jc w:val="center"/>
        <w:rPr>
          <w:b/>
          <w:bCs/>
          <w:sz w:val="22"/>
          <w:szCs w:val="22"/>
        </w:rPr>
      </w:pPr>
    </w:p>
    <w:p w:rsidR="00E00C6F" w:rsidRPr="00E00C6F" w:rsidRDefault="00E00C6F" w:rsidP="00E00C6F">
      <w:pPr>
        <w:pStyle w:val="a7"/>
        <w:rPr>
          <w:b/>
          <w:bCs/>
          <w:sz w:val="22"/>
          <w:szCs w:val="22"/>
        </w:rPr>
      </w:pPr>
      <w:r w:rsidRPr="00E00C6F">
        <w:rPr>
          <w:b/>
          <w:bCs/>
          <w:sz w:val="22"/>
          <w:szCs w:val="22"/>
        </w:rPr>
        <w:t>Прогноз социально-экономического развития городского округа Воскресенск на 2026-2028 годы</w:t>
      </w:r>
    </w:p>
    <w:p w:rsidR="00E00C6F" w:rsidRPr="00E00C6F" w:rsidRDefault="00E00C6F" w:rsidP="00E00C6F">
      <w:pPr>
        <w:pStyle w:val="a7"/>
        <w:rPr>
          <w:b/>
          <w:bCs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134"/>
        <w:gridCol w:w="1134"/>
        <w:gridCol w:w="1134"/>
        <w:gridCol w:w="1276"/>
        <w:gridCol w:w="1276"/>
        <w:gridCol w:w="1275"/>
        <w:gridCol w:w="1276"/>
        <w:gridCol w:w="1276"/>
        <w:gridCol w:w="1239"/>
      </w:tblGrid>
      <w:tr w:rsidR="00E00C6F" w:rsidRPr="00E00C6F" w:rsidTr="00B50614">
        <w:trPr>
          <w:trHeight w:val="42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0C6F">
              <w:rPr>
                <w:rFonts w:ascii="Times New Roman" w:hAnsi="Times New Roman" w:cs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Единицы измерения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Оценка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2028</w:t>
            </w:r>
          </w:p>
        </w:tc>
      </w:tr>
      <w:tr w:rsidR="00E00C6F" w:rsidRPr="00E00C6F" w:rsidTr="00B50614">
        <w:trPr>
          <w:trHeight w:val="80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Прогноз вариант 1 (консервативный)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Прогноз вариант 2 (базовый)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Прогноз вариант 1 (консервативный)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Прогноз вариант 2 (базовый)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Прогноз вариант 1 (консервативный)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Прогноз вариант 2 (базовый)</w:t>
            </w:r>
          </w:p>
        </w:tc>
      </w:tr>
      <w:tr w:rsidR="005D38C0" w:rsidRPr="00E00C6F" w:rsidTr="00B50614">
        <w:trPr>
          <w:trHeight w:val="41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8C0" w:rsidRPr="005D38C0" w:rsidRDefault="005D38C0" w:rsidP="005D38C0">
            <w:pPr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</w:pPr>
            <w:r w:rsidRPr="005D38C0">
              <w:rPr>
                <w:rFonts w:ascii="Times New Roman" w:hAnsi="Times New Roman" w:cs="Times New Roman"/>
                <w:b/>
                <w:bCs/>
                <w:color w:val="000000"/>
              </w:rPr>
              <w:t>1. Демографические показатели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8C0" w:rsidRPr="00E00C6F" w:rsidRDefault="005D38C0" w:rsidP="00D6656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8C0" w:rsidRPr="00E00C6F" w:rsidRDefault="005D38C0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8C0" w:rsidRPr="00E00C6F" w:rsidRDefault="005D38C0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8C0" w:rsidRPr="00E00C6F" w:rsidRDefault="005D38C0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8C0" w:rsidRPr="00E00C6F" w:rsidRDefault="005D38C0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8C0" w:rsidRPr="00E00C6F" w:rsidRDefault="005D38C0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8C0" w:rsidRPr="00E00C6F" w:rsidRDefault="005D38C0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8C0" w:rsidRPr="00E00C6F" w:rsidRDefault="005D38C0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8C0" w:rsidRPr="00E00C6F" w:rsidRDefault="005D38C0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8C0" w:rsidRPr="00E00C6F" w:rsidRDefault="005D38C0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0614" w:rsidRPr="00E00C6F" w:rsidTr="00B50614">
        <w:trPr>
          <w:trHeight w:val="8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614" w:rsidRPr="00B50614" w:rsidRDefault="00B50614" w:rsidP="00B5061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D38C0">
              <w:rPr>
                <w:rFonts w:ascii="Times New Roman" w:hAnsi="Times New Roman" w:cs="Times New Roman"/>
                <w:color w:val="000000"/>
              </w:rPr>
              <w:t>Численность постоянного</w:t>
            </w:r>
            <w:r w:rsidRPr="00B50614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1,2</w:t>
            </w:r>
            <w:r w:rsidRPr="00B5061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5D38C0">
              <w:rPr>
                <w:rFonts w:ascii="Times New Roman" w:hAnsi="Times New Roman" w:cs="Times New Roman"/>
                <w:color w:val="000000"/>
              </w:rPr>
              <w:t>населения (на конец года)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614" w:rsidRPr="005D38C0" w:rsidRDefault="00B50614" w:rsidP="00B506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8C0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614" w:rsidRPr="005D38C0" w:rsidRDefault="00B50614" w:rsidP="00B5061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D38C0">
              <w:rPr>
                <w:rFonts w:ascii="Times New Roman" w:hAnsi="Times New Roman" w:cs="Times New Roman"/>
                <w:color w:val="000000"/>
              </w:rPr>
              <w:t>160 755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614" w:rsidRPr="005D38C0" w:rsidRDefault="00B50614" w:rsidP="00B50614">
            <w:pPr>
              <w:jc w:val="right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5D38C0">
              <w:rPr>
                <w:rFonts w:ascii="Times New Roman" w:hAnsi="Times New Roman" w:cs="Times New Roman"/>
                <w:color w:val="000000"/>
              </w:rPr>
              <w:t>161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5D38C0">
              <w:rPr>
                <w:rFonts w:ascii="Times New Roman" w:hAnsi="Times New Roman" w:cs="Times New Roman"/>
                <w:color w:val="000000"/>
              </w:rPr>
              <w:t>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614" w:rsidRPr="00251BE7" w:rsidRDefault="00B50614" w:rsidP="00B5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614" w:rsidRPr="00251BE7" w:rsidRDefault="00B50614" w:rsidP="00B5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614" w:rsidRPr="00251BE7" w:rsidRDefault="00B50614" w:rsidP="00B5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614" w:rsidRPr="00251BE7" w:rsidRDefault="00B50614" w:rsidP="00B5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614" w:rsidRPr="00251BE7" w:rsidRDefault="00B50614" w:rsidP="00B5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614" w:rsidRPr="00251BE7" w:rsidRDefault="00B50614" w:rsidP="00B5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614" w:rsidRPr="00251BE7" w:rsidRDefault="00B50614" w:rsidP="00B50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</w:tr>
      <w:tr w:rsidR="00065BDD" w:rsidRPr="00E00C6F" w:rsidTr="00B50614">
        <w:trPr>
          <w:trHeight w:val="8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B50614" w:rsidRDefault="00065BDD" w:rsidP="00065BDD">
            <w:pPr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B50614">
              <w:rPr>
                <w:rFonts w:ascii="Times New Roman" w:hAnsi="Times New Roman" w:cs="Times New Roman"/>
                <w:color w:val="000000"/>
              </w:rPr>
              <w:t>Число родившихся</w:t>
            </w:r>
            <w:r w:rsidRPr="00B50614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5D38C0" w:rsidRDefault="00065BDD" w:rsidP="00065B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8C0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65BDD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BDD">
              <w:rPr>
                <w:rFonts w:ascii="Times New Roman" w:hAnsi="Times New Roman" w:cs="Times New Roman"/>
                <w:color w:val="000000"/>
              </w:rPr>
              <w:t>1 139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65BDD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BDD">
              <w:rPr>
                <w:rFonts w:ascii="Times New Roman" w:hAnsi="Times New Roman" w:cs="Times New Roman"/>
                <w:color w:val="000000"/>
              </w:rPr>
              <w:t>1 098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</w:tr>
      <w:tr w:rsidR="00065BDD" w:rsidRPr="00E00C6F" w:rsidTr="00B50614">
        <w:trPr>
          <w:trHeight w:val="8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B50614" w:rsidRDefault="00065BDD" w:rsidP="00065BDD">
            <w:pPr>
              <w:rPr>
                <w:rFonts w:ascii="Times New Roman" w:hAnsi="Times New Roman" w:cs="Times New Roman"/>
                <w:color w:val="000000"/>
              </w:rPr>
            </w:pPr>
            <w:r w:rsidRPr="00B50614">
              <w:rPr>
                <w:rFonts w:ascii="Times New Roman" w:hAnsi="Times New Roman" w:cs="Times New Roman"/>
                <w:color w:val="000000"/>
              </w:rPr>
              <w:t xml:space="preserve">Общий коэффициент </w:t>
            </w:r>
            <w:r w:rsidRPr="00B50614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1,2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B50614">
              <w:rPr>
                <w:rFonts w:ascii="Times New Roman" w:hAnsi="Times New Roman" w:cs="Times New Roman"/>
                <w:color w:val="000000"/>
              </w:rPr>
              <w:t>рождаемости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5D38C0" w:rsidRDefault="00065BDD" w:rsidP="00065B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614">
              <w:rPr>
                <w:rFonts w:ascii="Times New Roman" w:hAnsi="Times New Roman" w:cs="Times New Roman"/>
                <w:color w:val="000000"/>
              </w:rPr>
              <w:t>число родившихся на 1000 человек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65BDD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BDD">
              <w:rPr>
                <w:rFonts w:ascii="Times New Roman" w:hAnsi="Times New Roman" w:cs="Times New Roman"/>
                <w:color w:val="000000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65BDD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BDD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</w:tr>
      <w:tr w:rsidR="00065BDD" w:rsidRPr="00E00C6F" w:rsidTr="00B50614">
        <w:trPr>
          <w:trHeight w:val="8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B50614" w:rsidRDefault="00065BDD" w:rsidP="00065BDD">
            <w:pPr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B50614">
              <w:rPr>
                <w:rFonts w:ascii="Times New Roman" w:hAnsi="Times New Roman" w:cs="Times New Roman"/>
                <w:color w:val="000000"/>
              </w:rPr>
              <w:t>Число умерших</w:t>
            </w:r>
            <w:r w:rsidRPr="00B50614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5D38C0" w:rsidRDefault="00065BDD" w:rsidP="00065B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8C0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65BDD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BDD">
              <w:rPr>
                <w:rFonts w:ascii="Times New Roman" w:hAnsi="Times New Roman" w:cs="Times New Roman"/>
                <w:color w:val="000000"/>
              </w:rPr>
              <w:t>2 073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65BDD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BDD">
              <w:rPr>
                <w:rFonts w:ascii="Times New Roman" w:hAnsi="Times New Roman" w:cs="Times New Roman"/>
                <w:color w:val="000000"/>
              </w:rPr>
              <w:t>2 194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</w:tr>
      <w:tr w:rsidR="00065BDD" w:rsidRPr="00E00C6F" w:rsidTr="00B50614">
        <w:trPr>
          <w:trHeight w:val="8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B50614" w:rsidRDefault="00065BDD" w:rsidP="00065BDD">
            <w:pPr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B50614">
              <w:rPr>
                <w:rFonts w:ascii="Times New Roman" w:hAnsi="Times New Roman" w:cs="Times New Roman"/>
                <w:color w:val="000000"/>
              </w:rPr>
              <w:t>Общий коэффициент смертности</w:t>
            </w:r>
            <w:r w:rsidRPr="00B50614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5D38C0" w:rsidRDefault="00065BDD" w:rsidP="00065B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614">
              <w:rPr>
                <w:rFonts w:ascii="Times New Roman" w:hAnsi="Times New Roman" w:cs="Times New Roman"/>
                <w:color w:val="000000"/>
              </w:rPr>
              <w:t xml:space="preserve">число умерших на 1000 </w:t>
            </w:r>
            <w:r w:rsidRPr="00B50614">
              <w:rPr>
                <w:rFonts w:ascii="Times New Roman" w:hAnsi="Times New Roman" w:cs="Times New Roman"/>
                <w:color w:val="000000"/>
              </w:rPr>
              <w:lastRenderedPageBreak/>
              <w:t>человек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65BDD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BDD">
              <w:rPr>
                <w:rFonts w:ascii="Times New Roman" w:hAnsi="Times New Roman" w:cs="Times New Roman"/>
                <w:color w:val="000000"/>
              </w:rPr>
              <w:lastRenderedPageBreak/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65BDD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BDD">
              <w:rPr>
                <w:rFonts w:ascii="Times New Roman" w:hAnsi="Times New Roman" w:cs="Times New Roman"/>
                <w:color w:val="000000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</w:tr>
      <w:tr w:rsidR="00065BDD" w:rsidRPr="00E00C6F" w:rsidTr="00B50614">
        <w:trPr>
          <w:trHeight w:val="8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0D1724" w:rsidRDefault="00065BDD" w:rsidP="00065BDD">
            <w:pPr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0D1724">
              <w:rPr>
                <w:rFonts w:ascii="Times New Roman" w:hAnsi="Times New Roman" w:cs="Times New Roman"/>
                <w:color w:val="000000"/>
              </w:rPr>
              <w:t>Естественный прирост (убыль) населения</w:t>
            </w:r>
            <w:r w:rsidRPr="000D1724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5D38C0" w:rsidRDefault="00065BDD" w:rsidP="00065B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65BDD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BDD">
              <w:rPr>
                <w:rFonts w:ascii="Times New Roman" w:hAnsi="Times New Roman" w:cs="Times New Roman"/>
                <w:color w:val="000000"/>
              </w:rPr>
              <w:t>-934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65BDD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BDD">
              <w:rPr>
                <w:rFonts w:ascii="Times New Roman" w:hAnsi="Times New Roman" w:cs="Times New Roman"/>
                <w:color w:val="000000"/>
              </w:rPr>
              <w:t>-1 096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</w:tr>
      <w:tr w:rsidR="00065BDD" w:rsidRPr="00E00C6F" w:rsidTr="00B50614">
        <w:trPr>
          <w:trHeight w:val="8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0D1724" w:rsidRDefault="00065BDD" w:rsidP="00065BDD">
            <w:pPr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0D1724">
              <w:rPr>
                <w:rFonts w:ascii="Times New Roman" w:hAnsi="Times New Roman" w:cs="Times New Roman"/>
                <w:color w:val="000000"/>
              </w:rPr>
              <w:t>Коэффициент естественного прироста (убыли) населения</w:t>
            </w:r>
            <w:r w:rsidRPr="000D1724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5D38C0" w:rsidRDefault="00065BDD" w:rsidP="00065B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24">
              <w:rPr>
                <w:rFonts w:ascii="Times New Roman" w:hAnsi="Times New Roman" w:cs="Times New Roman"/>
                <w:color w:val="000000"/>
              </w:rPr>
              <w:t>на 1000 человек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65BDD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BDD">
              <w:rPr>
                <w:rFonts w:ascii="Times New Roman" w:hAnsi="Times New Roman" w:cs="Times New Roman"/>
                <w:color w:val="000000"/>
              </w:rPr>
              <w:t>-5,8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65BDD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BDD">
              <w:rPr>
                <w:rFonts w:ascii="Times New Roman" w:hAnsi="Times New Roman" w:cs="Times New Roman"/>
                <w:color w:val="000000"/>
              </w:rPr>
              <w:t>-6,8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</w:tr>
      <w:tr w:rsidR="00065BDD" w:rsidRPr="00E00C6F" w:rsidTr="00B50614">
        <w:trPr>
          <w:trHeight w:val="8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0D1724" w:rsidRDefault="00065BDD" w:rsidP="00065BDD">
            <w:pPr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0D1724">
              <w:rPr>
                <w:rFonts w:ascii="Times New Roman" w:hAnsi="Times New Roman" w:cs="Times New Roman"/>
                <w:color w:val="000000"/>
              </w:rPr>
              <w:t>Миграционный прирост (убыль) населения</w:t>
            </w:r>
            <w:r w:rsidRPr="000D1724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5D38C0" w:rsidRDefault="00065BDD" w:rsidP="00065B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65BDD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BDD">
              <w:rPr>
                <w:rFonts w:ascii="Times New Roman" w:hAnsi="Times New Roman" w:cs="Times New Roman"/>
                <w:color w:val="000000"/>
              </w:rPr>
              <w:t>1 076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65BDD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BDD">
              <w:rPr>
                <w:rFonts w:ascii="Times New Roman" w:hAnsi="Times New Roman" w:cs="Times New Roman"/>
                <w:color w:val="000000"/>
              </w:rPr>
              <w:t>2 206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</w:tr>
      <w:tr w:rsidR="00065BDD" w:rsidRPr="00E00C6F" w:rsidTr="00B50614">
        <w:trPr>
          <w:trHeight w:val="8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5D38C0" w:rsidRDefault="00065BDD" w:rsidP="00065BDD">
            <w:pPr>
              <w:rPr>
                <w:rFonts w:ascii="Times New Roman" w:hAnsi="Times New Roman" w:cs="Times New Roman"/>
                <w:color w:val="000000"/>
              </w:rPr>
            </w:pPr>
            <w:r w:rsidRPr="000D1724">
              <w:rPr>
                <w:rFonts w:ascii="Times New Roman" w:hAnsi="Times New Roman" w:cs="Times New Roman"/>
                <w:color w:val="000000"/>
              </w:rPr>
              <w:t>Уровень обеспеченности населения жильем (на конец года) (за 2024 год)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5D38C0" w:rsidRDefault="00065BDD" w:rsidP="00065B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24">
              <w:rPr>
                <w:rFonts w:ascii="Times New Roman" w:hAnsi="Times New Roman" w:cs="Times New Roman"/>
                <w:color w:val="000000"/>
              </w:rPr>
              <w:t>кв.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1724">
              <w:rPr>
                <w:rFonts w:ascii="Times New Roman" w:hAnsi="Times New Roman" w:cs="Times New Roman"/>
                <w:color w:val="000000"/>
              </w:rPr>
              <w:t>метров на человека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65BDD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BD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65BDD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BDD">
              <w:rPr>
                <w:rFonts w:ascii="Times New Roman" w:hAnsi="Times New Roman" w:cs="Times New Roman"/>
                <w:color w:val="000000"/>
              </w:rPr>
              <w:t>25,62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</w:tr>
      <w:tr w:rsidR="00065BDD" w:rsidRPr="00E00C6F" w:rsidTr="00B50614">
        <w:trPr>
          <w:trHeight w:val="8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0D1724" w:rsidRDefault="00065BDD" w:rsidP="00065BDD">
            <w:pPr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0D1724">
              <w:rPr>
                <w:rFonts w:ascii="Times New Roman" w:hAnsi="Times New Roman" w:cs="Times New Roman"/>
                <w:color w:val="000000"/>
              </w:rPr>
              <w:t>Общий прирост населения</w:t>
            </w:r>
            <w:r w:rsidRPr="00923CA5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5D38C0" w:rsidRDefault="00065BDD" w:rsidP="00065B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65BDD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BDD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65BDD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BDD">
              <w:rPr>
                <w:rFonts w:ascii="Times New Roman" w:hAnsi="Times New Roman" w:cs="Times New Roman"/>
                <w:color w:val="000000"/>
              </w:rPr>
              <w:t>1 110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</w:tr>
      <w:tr w:rsidR="00065BDD" w:rsidRPr="00E00C6F" w:rsidTr="00B50614">
        <w:trPr>
          <w:trHeight w:val="8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0D1724" w:rsidRDefault="00065BDD" w:rsidP="00065BDD">
            <w:pPr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0D1724">
              <w:rPr>
                <w:rFonts w:ascii="Times New Roman" w:hAnsi="Times New Roman" w:cs="Times New Roman"/>
                <w:color w:val="000000"/>
              </w:rPr>
              <w:t>Численность постоянного населения (среднегодовая)</w:t>
            </w:r>
            <w:r w:rsidRPr="00923CA5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5D38C0" w:rsidRDefault="00065BDD" w:rsidP="00065B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65BDD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BDD">
              <w:rPr>
                <w:rFonts w:ascii="Times New Roman" w:hAnsi="Times New Roman" w:cs="Times New Roman"/>
                <w:color w:val="000000"/>
              </w:rPr>
              <w:t>160 684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65BDD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BDD">
              <w:rPr>
                <w:rFonts w:ascii="Times New Roman" w:hAnsi="Times New Roman" w:cs="Times New Roman"/>
                <w:color w:val="000000"/>
              </w:rPr>
              <w:t>161 308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</w:tr>
      <w:tr w:rsidR="00065BDD" w:rsidRPr="00E00C6F" w:rsidTr="00B50614">
        <w:trPr>
          <w:trHeight w:val="8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0D1724" w:rsidRDefault="00065BDD" w:rsidP="00065BDD">
            <w:pPr>
              <w:rPr>
                <w:rFonts w:ascii="Times New Roman" w:hAnsi="Times New Roman" w:cs="Times New Roman"/>
                <w:color w:val="000000"/>
              </w:rPr>
            </w:pPr>
            <w:r w:rsidRPr="000D1724">
              <w:rPr>
                <w:rFonts w:ascii="Times New Roman" w:hAnsi="Times New Roman" w:cs="Times New Roman"/>
                <w:color w:val="000000"/>
              </w:rPr>
              <w:t>по численности постоянного населения, в том числе в возрасте: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Default="00065BDD" w:rsidP="00065B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5D38C0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5D38C0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65BDD" w:rsidRPr="00E00C6F" w:rsidTr="00B50614">
        <w:trPr>
          <w:trHeight w:val="8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187FC6" w:rsidRDefault="00065BDD" w:rsidP="00065BDD">
            <w:pPr>
              <w:ind w:firstLineChars="500" w:firstLine="1100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0D1724">
              <w:rPr>
                <w:rFonts w:ascii="Times New Roman" w:hAnsi="Times New Roman" w:cs="Times New Roman"/>
                <w:color w:val="000000"/>
              </w:rPr>
              <w:t>до 3 лет</w:t>
            </w:r>
            <w:r w:rsidRPr="00187FC6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0D1724" w:rsidRDefault="00065BDD" w:rsidP="00065B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24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D1724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D1724">
              <w:rPr>
                <w:rFonts w:ascii="Times New Roman" w:hAnsi="Times New Roman" w:cs="Times New Roman"/>
                <w:color w:val="000000"/>
              </w:rPr>
              <w:t>3 596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D1724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D1724">
              <w:rPr>
                <w:rFonts w:ascii="Times New Roman" w:hAnsi="Times New Roman" w:cs="Times New Roman"/>
                <w:color w:val="000000"/>
              </w:rPr>
              <w:t>3 490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</w:tr>
      <w:tr w:rsidR="00065BDD" w:rsidRPr="00E00C6F" w:rsidTr="00B50614">
        <w:trPr>
          <w:trHeight w:val="8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187FC6" w:rsidRDefault="00065BDD" w:rsidP="00065BDD">
            <w:pPr>
              <w:ind w:firstLineChars="500" w:firstLine="1100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0D1724">
              <w:rPr>
                <w:rFonts w:ascii="Times New Roman" w:hAnsi="Times New Roman" w:cs="Times New Roman"/>
                <w:color w:val="000000"/>
              </w:rPr>
              <w:t>от 3 до 7 лет</w:t>
            </w:r>
            <w:r w:rsidRPr="00187FC6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0D1724" w:rsidRDefault="00065BDD" w:rsidP="00065B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24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D1724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D1724">
              <w:rPr>
                <w:rFonts w:ascii="Times New Roman" w:hAnsi="Times New Roman" w:cs="Times New Roman"/>
                <w:color w:val="000000"/>
              </w:rPr>
              <w:t>8 480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D1724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D1724">
              <w:rPr>
                <w:rFonts w:ascii="Times New Roman" w:hAnsi="Times New Roman" w:cs="Times New Roman"/>
                <w:color w:val="000000"/>
              </w:rPr>
              <w:t>7 736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</w:tr>
      <w:tr w:rsidR="00065BDD" w:rsidRPr="00E00C6F" w:rsidTr="00B50614">
        <w:trPr>
          <w:trHeight w:val="8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187FC6" w:rsidRDefault="00065BDD" w:rsidP="00065BDD">
            <w:pPr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</w:t>
            </w:r>
            <w:r w:rsidRPr="000D1724">
              <w:rPr>
                <w:rFonts w:ascii="Times New Roman" w:hAnsi="Times New Roman" w:cs="Times New Roman"/>
                <w:color w:val="000000"/>
              </w:rPr>
              <w:t>от 7 до 17 лет</w:t>
            </w:r>
            <w:r w:rsidRPr="00187FC6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BDD" w:rsidRPr="000D1724" w:rsidRDefault="00065BDD" w:rsidP="00065B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24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D1724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D1724">
              <w:rPr>
                <w:rFonts w:ascii="Times New Roman" w:hAnsi="Times New Roman" w:cs="Times New Roman"/>
                <w:color w:val="000000"/>
              </w:rPr>
              <w:t>21 117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0D1724" w:rsidRDefault="00065BDD" w:rsidP="00065B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D1724">
              <w:rPr>
                <w:rFonts w:ascii="Times New Roman" w:hAnsi="Times New Roman" w:cs="Times New Roman"/>
                <w:color w:val="000000"/>
              </w:rPr>
              <w:t>21 675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BDD" w:rsidRPr="00251BE7" w:rsidRDefault="00065BDD" w:rsidP="00065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539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</w:tr>
      <w:tr w:rsidR="00E00C6F" w:rsidRPr="00E00C6F" w:rsidTr="00B50614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0C6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3. Промышленное производство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00C6F" w:rsidRPr="00E00C6F" w:rsidTr="00B50614">
        <w:trPr>
          <w:trHeight w:val="198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Объем отгруженных товаров собственного производства, выполненных работ и услуг собственными силами по промышленным видам деятельности по крупным и средним организациям (без организаций с численностью работающих менее 15 человек)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млн.руб.в ценах соответствующих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83 859,7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100 036,0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117 388,8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133 316,2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138 443,7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154 761,3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163 225,1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180 240,5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192 531,2</w:t>
            </w:r>
          </w:p>
        </w:tc>
      </w:tr>
      <w:tr w:rsidR="00E00C6F" w:rsidRPr="00E00C6F" w:rsidTr="00B50614">
        <w:trPr>
          <w:trHeight w:val="1266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Справочно: Объем отгруженных товаров собственного производства, выполненных работ и услуг собственными силами о крупным и средним организациям (без организаций с численностью работающих менее 15 человек) - раздел 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млн.руб.в ценах соответствующих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79 088,4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95 382,1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113 074,8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128 602,2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134 129,7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149 747,3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159 211,1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174 926,5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189 217,2</w:t>
            </w:r>
          </w:p>
        </w:tc>
      </w:tr>
      <w:tr w:rsidR="00E00C6F" w:rsidRPr="00E00C6F" w:rsidTr="00B50614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0C6F">
              <w:rPr>
                <w:rFonts w:ascii="Times New Roman" w:hAnsi="Times New Roman" w:cs="Times New Roman"/>
                <w:b/>
                <w:bCs/>
                <w:color w:val="000000"/>
              </w:rPr>
              <w:t>7. Малое и среднее предпринимательство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00C6F" w:rsidRPr="00E00C6F" w:rsidTr="00B50614">
        <w:trPr>
          <w:trHeight w:val="133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Число малых и средних предприятий, включая микропредприятия (на конец года)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1 440</w:t>
            </w:r>
          </w:p>
        </w:tc>
      </w:tr>
      <w:tr w:rsidR="00E00C6F" w:rsidRPr="00E00C6F" w:rsidTr="00B50614">
        <w:trPr>
          <w:trHeight w:val="130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lastRenderedPageBreak/>
              <w:t>Справочно: в том числе, малых предприятий (включая микропредприятия)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1 407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1 429</w:t>
            </w:r>
          </w:p>
        </w:tc>
      </w:tr>
      <w:tr w:rsidR="00E00C6F" w:rsidRPr="00E00C6F" w:rsidTr="00B50614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0C6F">
              <w:rPr>
                <w:rFonts w:ascii="Times New Roman" w:hAnsi="Times New Roman" w:cs="Times New Roman"/>
                <w:b/>
                <w:bCs/>
                <w:color w:val="000000"/>
              </w:rPr>
              <w:t>8.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00C6F" w:rsidRPr="00E00C6F" w:rsidTr="00B50614">
        <w:trPr>
          <w:trHeight w:val="273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Инвестиции в основной капитал за счет всех источников финансирования (без субъектов малого предпринимательства и объемов инвестиций, не наблюдаемых прямыми статистическими методами)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402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млн.руб</w:t>
            </w:r>
            <w:r w:rsidR="00126402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126402" w:rsidP="0012640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17 </w:t>
            </w:r>
            <w:r w:rsidR="00E00C6F" w:rsidRPr="00E00C6F">
              <w:rPr>
                <w:rFonts w:ascii="Times New Roman" w:hAnsi="Times New Roman" w:cs="Times New Roman"/>
                <w:color w:val="000000"/>
              </w:rPr>
              <w:t>520,54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20 415,23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22 942,49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24 371,46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24 496,66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25 774,58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26 137,15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27 286,13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27 969,84</w:t>
            </w:r>
          </w:p>
        </w:tc>
      </w:tr>
      <w:tr w:rsidR="00E00C6F" w:rsidRPr="00E00C6F" w:rsidTr="00B50614">
        <w:trPr>
          <w:trHeight w:val="245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Справочно: Инвестиции в основной капитал (без субъектов малого предпринимательства и параметров неформальной деятельности) из местных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1264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млн. руб</w:t>
            </w:r>
            <w:r w:rsidR="0012640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322,42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400,61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544,28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572,93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509,81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536,65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570,00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600,00</w:t>
            </w:r>
          </w:p>
        </w:tc>
      </w:tr>
      <w:tr w:rsidR="00E00C6F" w:rsidRPr="00E00C6F" w:rsidTr="00B50614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0C6F">
              <w:rPr>
                <w:rFonts w:ascii="Times New Roman" w:hAnsi="Times New Roman" w:cs="Times New Roman"/>
                <w:b/>
                <w:bCs/>
                <w:color w:val="000000"/>
              </w:rPr>
              <w:t>9. Строительство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00C6F" w:rsidRPr="00E00C6F" w:rsidTr="00B50614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Объем жилищного строительства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тыс. кв. м общей площади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152,45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93,10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104,57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106,69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84,55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89,00</w:t>
            </w:r>
          </w:p>
        </w:tc>
      </w:tr>
      <w:tr w:rsidR="00E00C6F" w:rsidRPr="00E00C6F" w:rsidTr="00B50614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00C6F" w:rsidRPr="00E00C6F" w:rsidTr="00B50614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Справочно: Ввод общей площади жилых домов, построенных населением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тыс. кв. м общей площади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152,45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93,10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104,57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106,69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84,55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89,00</w:t>
            </w:r>
          </w:p>
        </w:tc>
      </w:tr>
      <w:tr w:rsidR="00E00C6F" w:rsidRPr="00E00C6F" w:rsidTr="00B50614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lastRenderedPageBreak/>
              <w:t>Справочно: ввод жилья в многоквартирных жилых домах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тыс. кв. м общей площади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00C6F" w:rsidRPr="00E00C6F" w:rsidTr="00B50614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0C6F">
              <w:rPr>
                <w:rFonts w:ascii="Times New Roman" w:hAnsi="Times New Roman" w:cs="Times New Roman"/>
                <w:b/>
                <w:bCs/>
                <w:color w:val="000000"/>
              </w:rPr>
              <w:t>11. Труд и заработная плата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00C6F" w:rsidRPr="00E00C6F" w:rsidTr="00B50614">
        <w:trPr>
          <w:trHeight w:val="156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Справочно: Количество созданных рабочих мест всего (на крупных и средних предприятиях, на малых предприятиях (включая микропредприятия) и индивидуальные предприниматели)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1 954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1 988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2 002</w:t>
            </w:r>
          </w:p>
        </w:tc>
      </w:tr>
      <w:tr w:rsidR="00E00C6F" w:rsidRPr="00E00C6F" w:rsidTr="00B50614">
        <w:trPr>
          <w:trHeight w:val="6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Количество созданных рабочих мест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515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527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534</w:t>
            </w:r>
          </w:p>
        </w:tc>
      </w:tr>
      <w:tr w:rsidR="00E00C6F" w:rsidRPr="00E00C6F" w:rsidTr="00B50614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Справочно: Количество созданных рабочих мест на малых предприятиях (включая микропредприятия) и индивидуальные предприниматели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1 468</w:t>
            </w:r>
          </w:p>
        </w:tc>
      </w:tr>
      <w:tr w:rsidR="00E00C6F" w:rsidRPr="00E00C6F" w:rsidTr="00B50614">
        <w:trPr>
          <w:trHeight w:val="8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Численность официально зарегистрированных безработных, на конец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E00C6F" w:rsidRPr="00E00C6F" w:rsidTr="00B50614">
        <w:trPr>
          <w:trHeight w:val="6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Фонд начисленной заработной платы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24 362,9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29 886,8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35 610,9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39 871,8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40 547,0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42 511,5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43 970,8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45 303,0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47 683,3</w:t>
            </w:r>
          </w:p>
        </w:tc>
      </w:tr>
      <w:tr w:rsidR="00E00C6F" w:rsidRPr="00E00C6F" w:rsidTr="00B50614">
        <w:trPr>
          <w:trHeight w:val="99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 xml:space="preserve">Справочно: Фонд заработной платы по крупным и средним </w:t>
            </w:r>
            <w:r w:rsidRPr="00E00C6F">
              <w:rPr>
                <w:rFonts w:ascii="Times New Roman" w:hAnsi="Times New Roman" w:cs="Times New Roman"/>
                <w:color w:val="000000"/>
              </w:rPr>
              <w:lastRenderedPageBreak/>
              <w:t>организациям (включая организации с численностью до 15 человек)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lastRenderedPageBreak/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20 853,6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25 118,9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30 163,7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34 008,7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34 584,2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36 413,9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37 662,5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38 941,5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40 996,3</w:t>
            </w:r>
          </w:p>
        </w:tc>
      </w:tr>
      <w:tr w:rsidR="00E00C6F" w:rsidRPr="00E00C6F" w:rsidTr="00B50614">
        <w:trPr>
          <w:trHeight w:val="11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Справочно: Фонд заработной платы по малым предприятиям (включая микропредприятия)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3 509,3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4 767,9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5 447,2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5 863,1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5 962,8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6 097,6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6 308,3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6 361,5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6 687,0</w:t>
            </w:r>
          </w:p>
        </w:tc>
      </w:tr>
      <w:tr w:rsidR="00E00C6F" w:rsidRPr="00E00C6F" w:rsidTr="00B50614">
        <w:trPr>
          <w:trHeight w:val="117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Среднемесячная номинальная начисленная заработная плата работников (по полному кругу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рубль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67 521,7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81 741,0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93 886,8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104 443,2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105 354,1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110 762,4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113 048,3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117 763,1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121 897,3</w:t>
            </w:r>
          </w:p>
        </w:tc>
      </w:tr>
      <w:tr w:rsidR="00E00C6F" w:rsidRPr="00E00C6F" w:rsidTr="00B50614">
        <w:trPr>
          <w:trHeight w:val="13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Справочно: Среднемесячная заработная плата работников по крупным и средним организациям (включая организации с численностью до 15 человек)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74 334,8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88 809,6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101 471,1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113 863,3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114 844,3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121 549,8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124 239,6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129 856,9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134 836,7</w:t>
            </w:r>
          </w:p>
        </w:tc>
      </w:tr>
      <w:tr w:rsidR="00E00C6F" w:rsidRPr="00E00C6F" w:rsidTr="00B50614">
        <w:trPr>
          <w:trHeight w:val="11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Справочно: Среднемесячная заработная плата работников малых предприятий (включая микропредприятия)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рубль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43 713,3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57 591,7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66 403,4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70 575,1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71 219,7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72 394,0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73 513,0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75 003,5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76 745,6</w:t>
            </w:r>
          </w:p>
        </w:tc>
      </w:tr>
      <w:tr w:rsidR="00E00C6F" w:rsidRPr="00E00C6F" w:rsidTr="00B50614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 xml:space="preserve">Справочно: Среднесписочная численность работников (без внешних совместителей) по </w:t>
            </w:r>
            <w:r w:rsidRPr="00E00C6F">
              <w:rPr>
                <w:rFonts w:ascii="Times New Roman" w:hAnsi="Times New Roman" w:cs="Times New Roman"/>
                <w:color w:val="000000"/>
              </w:rPr>
              <w:lastRenderedPageBreak/>
              <w:t>полному кругу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lastRenderedPageBreak/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30 068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30 469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31 608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31 813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32 072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31 984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32 413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32 058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32 598</w:t>
            </w:r>
          </w:p>
        </w:tc>
      </w:tr>
      <w:tr w:rsidR="00E00C6F" w:rsidRPr="00E00C6F" w:rsidTr="00B50614">
        <w:trPr>
          <w:trHeight w:val="1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Справочно: Среднесписочная численность работников организаций по крупным и средним организациям (включая организации с численностью до 15 человек)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23 378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23 570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24 772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24 890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25 095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24 965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25 262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24 990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25 337</w:t>
            </w:r>
          </w:p>
        </w:tc>
      </w:tr>
      <w:tr w:rsidR="00E00C6F" w:rsidRPr="00E00C6F" w:rsidTr="00B50614">
        <w:trPr>
          <w:trHeight w:val="117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Справочно: Среднесписочная численность работников малых предприятий (включая микропредприятия)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6 690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6 899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6 836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6 923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6 977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7 019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7 151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7 068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7 261</w:t>
            </w:r>
          </w:p>
        </w:tc>
      </w:tr>
      <w:tr w:rsidR="00E00C6F" w:rsidRPr="00E00C6F" w:rsidTr="00B50614">
        <w:trPr>
          <w:trHeight w:val="54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0C6F">
              <w:rPr>
                <w:rFonts w:ascii="Times New Roman" w:hAnsi="Times New Roman" w:cs="Times New Roman"/>
                <w:b/>
                <w:bCs/>
                <w:color w:val="000000"/>
              </w:rPr>
              <w:t>13. Торговля и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00C6F" w:rsidRPr="00E00C6F" w:rsidTr="00B50614">
        <w:trPr>
          <w:trHeight w:val="8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Справочно: Площадь торговых объектов предприятий розничной торговли (на конец года)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тыс.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204,2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204,4</w:t>
            </w:r>
          </w:p>
        </w:tc>
      </w:tr>
      <w:tr w:rsidR="00E00C6F" w:rsidRPr="00E00C6F" w:rsidTr="00B50614">
        <w:trPr>
          <w:trHeight w:val="9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Справочно: Обеспеченность населения площадью торговых объектов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1264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кв.м</w:t>
            </w:r>
            <w:r w:rsidR="00126402">
              <w:rPr>
                <w:rFonts w:ascii="Times New Roman" w:hAnsi="Times New Roman" w:cs="Times New Roman"/>
                <w:color w:val="000000"/>
              </w:rPr>
              <w:t>.</w:t>
            </w:r>
            <w:r w:rsidRPr="00E00C6F">
              <w:rPr>
                <w:rFonts w:ascii="Times New Roman" w:hAnsi="Times New Roman" w:cs="Times New Roman"/>
                <w:color w:val="000000"/>
              </w:rPr>
              <w:t xml:space="preserve"> на 1000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1 229,7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1 244,2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1 254,9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1 264,3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1 265,3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1 271,9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1 272,5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1 277,9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1 278,1</w:t>
            </w:r>
          </w:p>
        </w:tc>
      </w:tr>
      <w:tr w:rsidR="00E00C6F" w:rsidRPr="00E00C6F" w:rsidTr="00B50614">
        <w:trPr>
          <w:trHeight w:val="22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lastRenderedPageBreak/>
              <w:t>Справочно: Площадь объектов оптовой торговли (складские помещения, оптово-распределительные центры, оптово-логистические центры, торгово-складские комплексы, логистические комплексы, стационарные оптовые рынки, распределительные холодильники и др.)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тыс.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E00C6F" w:rsidRPr="00E00C6F" w:rsidTr="00B50614">
        <w:trPr>
          <w:trHeight w:val="11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Оборот розничной торговли по крупным и средним организациям (без организаций с численностью работающих менее 15 человек):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00C6F" w:rsidRPr="00E00C6F" w:rsidTr="00B50614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в ценах соответствующих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6F" w:rsidRPr="00E00C6F" w:rsidRDefault="00E00C6F" w:rsidP="00D66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26 920,5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33 304,7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38 766,7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43 922,8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44 246,4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49 334,1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50 157,7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55 617,3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6F" w:rsidRPr="00E00C6F" w:rsidRDefault="00E00C6F" w:rsidP="00D665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0C6F">
              <w:rPr>
                <w:rFonts w:ascii="Times New Roman" w:hAnsi="Times New Roman" w:cs="Times New Roman"/>
                <w:color w:val="000000"/>
              </w:rPr>
              <w:t>57 067,4</w:t>
            </w:r>
          </w:p>
        </w:tc>
      </w:tr>
    </w:tbl>
    <w:p w:rsidR="00E00C6F" w:rsidRDefault="00E00C6F" w:rsidP="00E00C6F">
      <w:pPr>
        <w:pStyle w:val="a7"/>
        <w:jc w:val="center"/>
        <w:rPr>
          <w:b/>
          <w:bCs/>
        </w:rPr>
      </w:pPr>
    </w:p>
    <w:p w:rsidR="005D38C0" w:rsidRDefault="005D38C0" w:rsidP="005D38C0">
      <w:pPr>
        <w:pStyle w:val="a7"/>
        <w:jc w:val="left"/>
        <w:rPr>
          <w:bCs/>
        </w:rPr>
      </w:pPr>
      <w:r>
        <w:rPr>
          <w:b/>
          <w:bCs/>
          <w:vertAlign w:val="superscript"/>
        </w:rPr>
        <w:t xml:space="preserve">1 </w:t>
      </w:r>
      <w:r w:rsidRPr="005D38C0">
        <w:rPr>
          <w:bCs/>
        </w:rPr>
        <w:t>опу</w:t>
      </w:r>
      <w:r>
        <w:rPr>
          <w:bCs/>
        </w:rPr>
        <w:t xml:space="preserve">бликование и предоставление информации о численности населения, естественном движении населения и миграции населения приостановлено </w:t>
      </w:r>
      <w:r w:rsidRPr="005D38C0">
        <w:rPr>
          <w:bCs/>
        </w:rPr>
        <w:t>Р</w:t>
      </w:r>
      <w:r>
        <w:rPr>
          <w:bCs/>
        </w:rPr>
        <w:t>осстатом в соответствии с решением Правительства Российской Федерации</w:t>
      </w:r>
      <w:r w:rsidR="00C618E4">
        <w:rPr>
          <w:bCs/>
        </w:rPr>
        <w:t xml:space="preserve"> о временном приостановлении их предоставления и распространения в соответствии с ч. 10 ст. 5 Федерального закона от 29.11.2007 г</w:t>
      </w:r>
      <w:r>
        <w:rPr>
          <w:bCs/>
        </w:rPr>
        <w:t>.</w:t>
      </w:r>
      <w:r w:rsidR="00C618E4">
        <w:rPr>
          <w:bCs/>
        </w:rPr>
        <w:t xml:space="preserve"> «Об официальном статистическом учете и системе государственной статистики в Российской Федерации».</w:t>
      </w:r>
    </w:p>
    <w:p w:rsidR="005D38C0" w:rsidRDefault="000D1724" w:rsidP="005D38C0">
      <w:pPr>
        <w:pStyle w:val="a7"/>
        <w:jc w:val="left"/>
        <w:rPr>
          <w:bCs/>
        </w:rPr>
      </w:pPr>
      <w:r w:rsidRPr="000D1724">
        <w:rPr>
          <w:b/>
          <w:bCs/>
          <w:vertAlign w:val="superscript"/>
        </w:rPr>
        <w:t>2</w:t>
      </w:r>
      <w:r w:rsidR="005D38C0" w:rsidRPr="000D1724">
        <w:rPr>
          <w:bCs/>
        </w:rPr>
        <w:t xml:space="preserve"> </w:t>
      </w:r>
      <w:r w:rsidR="005D38C0" w:rsidRPr="005D38C0">
        <w:rPr>
          <w:bCs/>
        </w:rPr>
        <w:t>2024</w:t>
      </w:r>
      <w:r w:rsidR="005D38C0">
        <w:rPr>
          <w:bCs/>
        </w:rPr>
        <w:t xml:space="preserve"> год – предварительные данные Росстата за январь-декабрь</w:t>
      </w:r>
    </w:p>
    <w:p w:rsidR="000D1724" w:rsidRPr="005D38C0" w:rsidRDefault="000D1724" w:rsidP="005D38C0">
      <w:pPr>
        <w:pStyle w:val="a7"/>
        <w:jc w:val="left"/>
        <w:rPr>
          <w:bCs/>
          <w:vertAlign w:val="superscript"/>
        </w:rPr>
      </w:pPr>
      <w:r w:rsidRPr="000D1724">
        <w:rPr>
          <w:b/>
          <w:bCs/>
        </w:rPr>
        <w:t>³</w:t>
      </w:r>
      <w:r w:rsidRPr="000D1724">
        <w:rPr>
          <w:bCs/>
        </w:rPr>
        <w:t xml:space="preserve"> 2024 год - расчетно (официальная статистика отсутствует).</w:t>
      </w:r>
    </w:p>
    <w:p w:rsidR="00E00C6F" w:rsidRDefault="00E00C6F" w:rsidP="00E00C6F">
      <w:pPr>
        <w:pStyle w:val="a7"/>
        <w:jc w:val="center"/>
        <w:rPr>
          <w:b/>
          <w:bCs/>
        </w:rPr>
      </w:pPr>
    </w:p>
    <w:p w:rsidR="00E00C6F" w:rsidRDefault="00E00C6F" w:rsidP="00E00C6F">
      <w:pPr>
        <w:pStyle w:val="a7"/>
        <w:jc w:val="center"/>
        <w:rPr>
          <w:b/>
          <w:bCs/>
        </w:rPr>
        <w:sectPr w:rsidR="00E00C6F" w:rsidSect="00E00C6F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E00C6F" w:rsidRPr="00766D4E" w:rsidRDefault="00E00C6F" w:rsidP="00E00C6F">
      <w:pPr>
        <w:pStyle w:val="a7"/>
        <w:jc w:val="center"/>
        <w:rPr>
          <w:b/>
        </w:rPr>
      </w:pPr>
      <w:r w:rsidRPr="00766D4E">
        <w:rPr>
          <w:b/>
          <w:bCs/>
        </w:rPr>
        <w:lastRenderedPageBreak/>
        <w:t>Пояснительная записка</w:t>
      </w:r>
    </w:p>
    <w:p w:rsidR="00E00C6F" w:rsidRDefault="00E00C6F" w:rsidP="00E00C6F">
      <w:pPr>
        <w:pStyle w:val="a7"/>
        <w:jc w:val="center"/>
        <w:rPr>
          <w:b/>
        </w:rPr>
      </w:pPr>
      <w:r w:rsidRPr="00766D4E">
        <w:rPr>
          <w:b/>
        </w:rPr>
        <w:t xml:space="preserve">к прогнозу социально-экономического развития городского округа Воскресенск </w:t>
      </w:r>
    </w:p>
    <w:p w:rsidR="00E00C6F" w:rsidRPr="00766D4E" w:rsidRDefault="00E00C6F" w:rsidP="00E00C6F">
      <w:pPr>
        <w:pStyle w:val="a7"/>
        <w:jc w:val="center"/>
        <w:rPr>
          <w:b/>
        </w:rPr>
      </w:pPr>
      <w:r w:rsidRPr="00766D4E">
        <w:rPr>
          <w:b/>
        </w:rPr>
        <w:t xml:space="preserve">на </w:t>
      </w:r>
      <w:r>
        <w:rPr>
          <w:b/>
        </w:rPr>
        <w:t xml:space="preserve">среднесрочный период </w:t>
      </w:r>
      <w:r w:rsidRPr="00766D4E">
        <w:rPr>
          <w:b/>
        </w:rPr>
        <w:t>202</w:t>
      </w:r>
      <w:r>
        <w:rPr>
          <w:b/>
        </w:rPr>
        <w:t>6</w:t>
      </w:r>
      <w:r w:rsidRPr="00766D4E">
        <w:rPr>
          <w:b/>
        </w:rPr>
        <w:t>-202</w:t>
      </w:r>
      <w:r>
        <w:rPr>
          <w:b/>
        </w:rPr>
        <w:t>8 годов</w:t>
      </w:r>
    </w:p>
    <w:p w:rsidR="00E00C6F" w:rsidRPr="00BB353F" w:rsidRDefault="00E00C6F" w:rsidP="00E00C6F">
      <w:pPr>
        <w:pStyle w:val="a7"/>
        <w:ind w:firstLine="708"/>
        <w:rPr>
          <w:bCs/>
        </w:rPr>
      </w:pPr>
    </w:p>
    <w:p w:rsidR="00E00C6F" w:rsidRPr="00955A08" w:rsidRDefault="00E00C6F" w:rsidP="00E00C6F">
      <w:pPr>
        <w:pStyle w:val="a7"/>
        <w:ind w:firstLine="708"/>
        <w:rPr>
          <w:bCs/>
        </w:rPr>
      </w:pPr>
      <w:r w:rsidRPr="00955A08">
        <w:rPr>
          <w:bCs/>
        </w:rPr>
        <w:t xml:space="preserve">Прогноз социально-экономического развития городского округа Воскресенск на среднесрочный период 2026-2028 годов разработан по Системе показателей, утвержденной постановлением Правительства Московской области от 24.06.2016 № 488/18 «О Порядке разработки, корректировки, осуществления мониторинга и контроля реализации прогноза социально-экономического развития Московской области на среднесрочный период и признания утратившими силу некоторых постановлений Правительства Московской области» (с изменениями от 26.05.2025 </w:t>
      </w:r>
      <w:hyperlink r:id="rId6">
        <w:r w:rsidRPr="00955A08">
          <w:rPr>
            <w:bCs/>
          </w:rPr>
          <w:t>№ 564-ПП</w:t>
        </w:r>
      </w:hyperlink>
      <w:r w:rsidRPr="00955A08">
        <w:rPr>
          <w:bCs/>
        </w:rPr>
        <w:t xml:space="preserve">), на основе официальных данных федерального статистического наблюдения, с учетом сложившихся темпов развития экономики городского округа Воскресенск в динамике предыдущих лет. В прогнозе применены индексы-дефляторы, рекомендованные к расчетам Министерством экономического развития РФ. </w:t>
      </w:r>
    </w:p>
    <w:p w:rsidR="00E00C6F" w:rsidRDefault="00E00C6F" w:rsidP="00E00C6F">
      <w:pPr>
        <w:pStyle w:val="a7"/>
        <w:ind w:firstLine="709"/>
        <w:rPr>
          <w:bCs/>
        </w:rPr>
      </w:pPr>
      <w:r w:rsidRPr="00955A08">
        <w:rPr>
          <w:bCs/>
        </w:rPr>
        <w:t xml:space="preserve">Городской округ Воскресенск исторически является промышленной территорией с основной специализацией в сфере производства минеральных удобрений, строительных материалов, стекловолокна, </w:t>
      </w:r>
      <w:r>
        <w:rPr>
          <w:bCs/>
        </w:rPr>
        <w:t>готовых металлических издел</w:t>
      </w:r>
      <w:r w:rsidRPr="00955A08">
        <w:rPr>
          <w:bCs/>
        </w:rPr>
        <w:t xml:space="preserve">ий. На территории хорошо развита транспортная инфраструктура – округ расположен на федеральных трассах М-5 «Урал» и А-108 «Московское большое кольцо», расположены станции железнодорожной магистрали «Москва-Рязань», проходит участок реки Москвы с четырьмя причалами. </w:t>
      </w:r>
    </w:p>
    <w:p w:rsidR="005F7FF1" w:rsidRDefault="005F7FF1" w:rsidP="00E00C6F">
      <w:pPr>
        <w:pStyle w:val="a7"/>
        <w:ind w:firstLine="709"/>
        <w:rPr>
          <w:bCs/>
        </w:rPr>
      </w:pPr>
    </w:p>
    <w:p w:rsidR="005F7FF1" w:rsidRDefault="005F7FF1" w:rsidP="005F7FF1">
      <w:pPr>
        <w:pStyle w:val="a7"/>
        <w:ind w:firstLine="709"/>
        <w:jc w:val="center"/>
        <w:rPr>
          <w:b/>
          <w:bCs/>
        </w:rPr>
      </w:pPr>
      <w:r>
        <w:rPr>
          <w:b/>
          <w:bCs/>
        </w:rPr>
        <w:t>Раздел 1. Демографические показатели</w:t>
      </w:r>
    </w:p>
    <w:p w:rsidR="005F7FF1" w:rsidRPr="00FD3586" w:rsidRDefault="005F7FF1" w:rsidP="005F7FF1">
      <w:pPr>
        <w:pStyle w:val="a7"/>
        <w:ind w:firstLine="709"/>
        <w:jc w:val="center"/>
        <w:rPr>
          <w:b/>
          <w:bCs/>
        </w:rPr>
      </w:pPr>
    </w:p>
    <w:p w:rsidR="005F7FF1" w:rsidRDefault="005F7FF1" w:rsidP="005F7FF1">
      <w:pPr>
        <w:pStyle w:val="a7"/>
        <w:ind w:firstLine="709"/>
        <w:rPr>
          <w:bCs/>
        </w:rPr>
      </w:pPr>
      <w:r w:rsidRPr="00735B1E">
        <w:rPr>
          <w:bCs/>
        </w:rPr>
        <w:t xml:space="preserve">Численность </w:t>
      </w:r>
      <w:r>
        <w:rPr>
          <w:bCs/>
        </w:rPr>
        <w:t xml:space="preserve">постоянного </w:t>
      </w:r>
      <w:r w:rsidRPr="00735B1E">
        <w:rPr>
          <w:bCs/>
        </w:rPr>
        <w:t>населения городского округа Воскресенск на</w:t>
      </w:r>
      <w:r>
        <w:rPr>
          <w:bCs/>
        </w:rPr>
        <w:t xml:space="preserve"> 01.01.2024 года составила 160 755 человек. На</w:t>
      </w:r>
      <w:r w:rsidRPr="00735B1E">
        <w:rPr>
          <w:bCs/>
        </w:rPr>
        <w:t xml:space="preserve"> 01.01.202</w:t>
      </w:r>
      <w:r>
        <w:rPr>
          <w:bCs/>
        </w:rPr>
        <w:t>5 года</w:t>
      </w:r>
      <w:r w:rsidRPr="005F7FF1">
        <w:rPr>
          <w:bCs/>
        </w:rPr>
        <w:t xml:space="preserve"> </w:t>
      </w:r>
      <w:r w:rsidRPr="00735B1E">
        <w:rPr>
          <w:bCs/>
        </w:rPr>
        <w:t xml:space="preserve">по </w:t>
      </w:r>
      <w:r>
        <w:rPr>
          <w:bCs/>
        </w:rPr>
        <w:t xml:space="preserve">предварительным </w:t>
      </w:r>
      <w:r w:rsidRPr="00735B1E">
        <w:rPr>
          <w:bCs/>
        </w:rPr>
        <w:t>да</w:t>
      </w:r>
      <w:r>
        <w:rPr>
          <w:bCs/>
        </w:rPr>
        <w:t xml:space="preserve">нным государственной статистики численность </w:t>
      </w:r>
      <w:r w:rsidRPr="00735B1E">
        <w:rPr>
          <w:bCs/>
        </w:rPr>
        <w:t>состав</w:t>
      </w:r>
      <w:r>
        <w:rPr>
          <w:bCs/>
        </w:rPr>
        <w:t>ляет</w:t>
      </w:r>
      <w:r w:rsidRPr="00735B1E">
        <w:rPr>
          <w:bCs/>
        </w:rPr>
        <w:t xml:space="preserve"> 16</w:t>
      </w:r>
      <w:r>
        <w:rPr>
          <w:bCs/>
        </w:rPr>
        <w:t>1</w:t>
      </w:r>
      <w:r w:rsidRPr="00735B1E">
        <w:rPr>
          <w:bCs/>
        </w:rPr>
        <w:t xml:space="preserve"> </w:t>
      </w:r>
      <w:r>
        <w:rPr>
          <w:bCs/>
        </w:rPr>
        <w:t>862 человека.</w:t>
      </w:r>
      <w:r w:rsidRPr="00D327AD">
        <w:rPr>
          <w:bCs/>
        </w:rPr>
        <w:t xml:space="preserve"> </w:t>
      </w:r>
    </w:p>
    <w:p w:rsidR="0036018B" w:rsidRPr="00D327AD" w:rsidRDefault="0036018B" w:rsidP="005F7FF1">
      <w:pPr>
        <w:pStyle w:val="a7"/>
        <w:ind w:firstLine="709"/>
        <w:rPr>
          <w:bCs/>
        </w:rPr>
      </w:pPr>
      <w:r w:rsidRPr="0036018B">
        <w:rPr>
          <w:bCs/>
        </w:rPr>
        <w:t>Анализ статистических сведений о естественном движении населения округа свидетельствует о продолжении тенденции к естественной убыли населения. Смертность населения превышает рождаемость. В отчетном году наблюдался рост коэффициента смертности (на 5,4 процентных пункта) и снижение коэффициента рождаемости (на 4,0 процентных пункта). На смертность населения продолжают вл</w:t>
      </w:r>
      <w:r>
        <w:rPr>
          <w:bCs/>
        </w:rPr>
        <w:t>и</w:t>
      </w:r>
      <w:r w:rsidRPr="0036018B">
        <w:rPr>
          <w:bCs/>
        </w:rPr>
        <w:t>ять основные факторы,</w:t>
      </w:r>
      <w:bookmarkStart w:id="0" w:name="_GoBack"/>
      <w:bookmarkEnd w:id="0"/>
      <w:r w:rsidRPr="0036018B">
        <w:rPr>
          <w:bCs/>
        </w:rPr>
        <w:t xml:space="preserve"> связанные с онкологическими за</w:t>
      </w:r>
      <w:r>
        <w:rPr>
          <w:bCs/>
        </w:rPr>
        <w:t>б</w:t>
      </w:r>
      <w:r w:rsidRPr="0036018B">
        <w:rPr>
          <w:bCs/>
        </w:rPr>
        <w:t>олеваниями, болезнями сердечно-сосудистой и легочной систем, а также увеличение доли возрастных групп населения. Снижение уровня рождаемости обусловлено экономико-социальными факторами, влияющими на качество жизни, в результате чего увеличивается доля семей с откладыванием деторождений на более поздний срок.  Основную долю в миграционном приросте составляет внешняя трудовая миграция.</w:t>
      </w:r>
    </w:p>
    <w:p w:rsidR="00E00C6F" w:rsidRPr="007F73A9" w:rsidRDefault="00E00C6F" w:rsidP="00E00C6F">
      <w:pPr>
        <w:pStyle w:val="a7"/>
        <w:rPr>
          <w:bCs/>
          <w:color w:val="FF0000"/>
        </w:rPr>
      </w:pPr>
    </w:p>
    <w:p w:rsidR="00E00C6F" w:rsidRPr="003364E4" w:rsidRDefault="00E00C6F" w:rsidP="00E00C6F">
      <w:pPr>
        <w:pStyle w:val="a7"/>
        <w:ind w:firstLine="709"/>
        <w:jc w:val="center"/>
        <w:rPr>
          <w:b/>
        </w:rPr>
      </w:pPr>
      <w:r w:rsidRPr="003364E4">
        <w:rPr>
          <w:b/>
          <w:bCs/>
        </w:rPr>
        <w:t>Раздел 3.</w:t>
      </w:r>
      <w:r w:rsidRPr="003364E4">
        <w:rPr>
          <w:bCs/>
        </w:rPr>
        <w:t xml:space="preserve"> </w:t>
      </w:r>
      <w:r w:rsidRPr="003364E4">
        <w:rPr>
          <w:b/>
        </w:rPr>
        <w:t>Промышленное производство</w:t>
      </w:r>
    </w:p>
    <w:p w:rsidR="00E00C6F" w:rsidRPr="003364E4" w:rsidRDefault="00E00C6F" w:rsidP="00E00C6F">
      <w:pPr>
        <w:pStyle w:val="a7"/>
        <w:ind w:firstLine="709"/>
        <w:jc w:val="center"/>
        <w:rPr>
          <w:b/>
        </w:rPr>
      </w:pPr>
    </w:p>
    <w:p w:rsidR="00E00C6F" w:rsidRPr="007F7079" w:rsidRDefault="00E00C6F" w:rsidP="00E00C6F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4E4">
        <w:rPr>
          <w:rFonts w:ascii="Times New Roman" w:eastAsia="Times New Roman" w:hAnsi="Times New Roman"/>
          <w:sz w:val="24"/>
          <w:szCs w:val="24"/>
          <w:lang w:eastAsia="ru-RU"/>
        </w:rPr>
        <w:t>Промышленный комплекс имеет определяющее значение в структуре экономики городского округа Воскресенск.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5C28">
        <w:rPr>
          <w:rFonts w:ascii="Times New Roman" w:eastAsia="Times New Roman" w:hAnsi="Times New Roman"/>
          <w:sz w:val="24"/>
          <w:szCs w:val="24"/>
          <w:lang w:eastAsia="ru-RU"/>
        </w:rPr>
        <w:t>При этом основную долю комплекса составляют обрабатывающие производства.</w:t>
      </w:r>
    </w:p>
    <w:p w:rsidR="00E00C6F" w:rsidRDefault="00E00C6F" w:rsidP="00E00C6F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C28">
        <w:rPr>
          <w:rFonts w:ascii="Times New Roman" w:eastAsia="Times New Roman" w:hAnsi="Times New Roman"/>
          <w:sz w:val="24"/>
          <w:szCs w:val="24"/>
          <w:lang w:eastAsia="ru-RU"/>
        </w:rPr>
        <w:t>Кр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упные промышленные предприятия</w:t>
      </w:r>
      <w:r w:rsidRPr="00425C28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отчетном 2024 году показали стабильную положительную динамику производства и отгрузки выпускаемой продукции.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Значение показателя составило 100 036,0 млн. руб., что на 19,3% выше относительно данных 2023 года. На увеличение темпов роста объема</w:t>
      </w:r>
      <w:r w:rsidRPr="00425C28">
        <w:rPr>
          <w:rFonts w:ascii="Times New Roman" w:eastAsia="Times New Roman" w:hAnsi="Times New Roman"/>
          <w:sz w:val="24"/>
          <w:szCs w:val="24"/>
          <w:lang w:eastAsia="ru-RU"/>
        </w:rPr>
        <w:t xml:space="preserve"> отгруженных товаров собственного производства повлиял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модернизация и расширение производств на таких предприятиях как</w:t>
      </w:r>
      <w:r w:rsidRPr="00425C2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АО </w:t>
      </w:r>
      <w:r w:rsidR="00D66565">
        <w:rPr>
          <w:rFonts w:ascii="Times New Roman" w:eastAsia="Times New Roman" w:hAnsi="Times New Roman"/>
          <w:sz w:val="24"/>
          <w:szCs w:val="24"/>
          <w:lang w:eastAsia="ru-RU"/>
        </w:rPr>
        <w:t>«Транскемикл-экспресс», ООО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Завод </w:t>
      </w:r>
      <w:r w:rsidR="00D66565">
        <w:rPr>
          <w:rFonts w:ascii="Times New Roman" w:eastAsia="Times New Roman" w:hAnsi="Times New Roman"/>
          <w:sz w:val="24"/>
          <w:szCs w:val="24"/>
          <w:lang w:eastAsia="ru-RU"/>
        </w:rPr>
        <w:t>«Люксард»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Воскресенский филиал</w:t>
      </w:r>
      <w:r w:rsidRPr="00425C28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 w:rsidR="00D66565">
        <w:rPr>
          <w:rFonts w:ascii="Times New Roman" w:eastAsia="Times New Roman" w:hAnsi="Times New Roman"/>
          <w:sz w:val="24"/>
          <w:szCs w:val="24"/>
          <w:lang w:eastAsia="ru-RU"/>
        </w:rPr>
        <w:t>ОО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Завод Технофлекс</w:t>
      </w:r>
      <w:r w:rsidR="00D6656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ООО </w:t>
      </w:r>
      <w:r w:rsidR="00D66565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Никогласс</w:t>
      </w:r>
      <w:r w:rsidR="00D6656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25C2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66565">
        <w:rPr>
          <w:rFonts w:ascii="Times New Roman" w:eastAsia="Times New Roman" w:hAnsi="Times New Roman"/>
          <w:sz w:val="24"/>
          <w:szCs w:val="24"/>
          <w:lang w:eastAsia="ru-RU"/>
        </w:rPr>
        <w:t>ООО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Волма-Воскресенск</w:t>
      </w:r>
      <w:r w:rsidR="00D66565">
        <w:rPr>
          <w:rFonts w:ascii="Times New Roman" w:eastAsia="Times New Roman" w:hAnsi="Times New Roman"/>
          <w:sz w:val="24"/>
          <w:szCs w:val="24"/>
          <w:lang w:eastAsia="ru-RU"/>
        </w:rPr>
        <w:t>», ОАО «</w:t>
      </w:r>
      <w:r w:rsidRPr="00425C28">
        <w:rPr>
          <w:rFonts w:ascii="Times New Roman" w:eastAsia="Times New Roman" w:hAnsi="Times New Roman"/>
          <w:sz w:val="24"/>
          <w:szCs w:val="24"/>
          <w:lang w:eastAsia="ru-RU"/>
        </w:rPr>
        <w:t>ВЭМЗ</w:t>
      </w:r>
      <w:r w:rsidR="00D6656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25C28">
        <w:rPr>
          <w:rFonts w:ascii="Times New Roman" w:eastAsia="Times New Roman" w:hAnsi="Times New Roman"/>
          <w:sz w:val="24"/>
          <w:szCs w:val="24"/>
          <w:lang w:eastAsia="ru-RU"/>
        </w:rPr>
        <w:t>,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ОО </w:t>
      </w:r>
      <w:r w:rsidR="00D66565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Эй-Джи Строймаркет</w:t>
      </w:r>
      <w:r w:rsidR="00D66565">
        <w:rPr>
          <w:rFonts w:ascii="Times New Roman" w:eastAsia="Times New Roman" w:hAnsi="Times New Roman"/>
          <w:sz w:val="24"/>
          <w:szCs w:val="24"/>
          <w:lang w:eastAsia="ru-RU"/>
        </w:rPr>
        <w:t>», АО «</w:t>
      </w:r>
      <w:r w:rsidRPr="00425C28">
        <w:rPr>
          <w:rFonts w:ascii="Times New Roman" w:eastAsia="Times New Roman" w:hAnsi="Times New Roman"/>
          <w:sz w:val="24"/>
          <w:szCs w:val="24"/>
          <w:lang w:eastAsia="ru-RU"/>
        </w:rPr>
        <w:t>Воскр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есенск-Химволокно</w:t>
      </w:r>
      <w:r w:rsidR="00D66565">
        <w:rPr>
          <w:rFonts w:ascii="Times New Roman" w:eastAsia="Times New Roman" w:hAnsi="Times New Roman"/>
          <w:sz w:val="24"/>
          <w:szCs w:val="24"/>
          <w:lang w:eastAsia="ru-RU"/>
        </w:rPr>
        <w:t>», ФЛ «</w:t>
      </w:r>
      <w:r w:rsidRPr="00425C28">
        <w:rPr>
          <w:rFonts w:ascii="Times New Roman" w:eastAsia="Times New Roman" w:hAnsi="Times New Roman"/>
          <w:sz w:val="24"/>
          <w:szCs w:val="24"/>
          <w:lang w:eastAsia="ru-RU"/>
        </w:rPr>
        <w:t>Воскресенский машиностроитель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ный завод </w:t>
      </w:r>
      <w:r w:rsidR="00D66565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Салют</w:t>
      </w:r>
      <w:r w:rsidR="00D66565">
        <w:rPr>
          <w:rFonts w:ascii="Times New Roman" w:eastAsia="Times New Roman" w:hAnsi="Times New Roman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АО </w:t>
      </w:r>
      <w:r w:rsidR="00D66565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ОДК</w:t>
      </w:r>
      <w:r w:rsidR="00D6656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25C28">
        <w:rPr>
          <w:rFonts w:ascii="Times New Roman" w:eastAsia="Times New Roman" w:hAnsi="Times New Roman"/>
          <w:sz w:val="24"/>
          <w:szCs w:val="24"/>
          <w:lang w:eastAsia="ru-RU"/>
        </w:rPr>
        <w:t>, Воскрес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енский ФЛ ЗАО </w:t>
      </w:r>
      <w:r w:rsidR="009A215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Профайн Рус</w:t>
      </w:r>
      <w:r w:rsidR="009A2152">
        <w:rPr>
          <w:rFonts w:ascii="Times New Roman" w:eastAsia="Times New Roman" w:hAnsi="Times New Roman"/>
          <w:sz w:val="24"/>
          <w:szCs w:val="24"/>
          <w:lang w:eastAsia="ru-RU"/>
        </w:rPr>
        <w:t>», ООО «ВЗМ»</w:t>
      </w:r>
      <w:r w:rsidRPr="00425C2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F44A5">
        <w:rPr>
          <w:rFonts w:ascii="Times New Roman" w:eastAsia="Times New Roman" w:hAnsi="Times New Roman"/>
          <w:sz w:val="24"/>
          <w:szCs w:val="24"/>
          <w:lang w:eastAsia="ru-RU"/>
        </w:rPr>
        <w:t>Крупнейшее предприятие округа по производств</w:t>
      </w:r>
      <w:r w:rsidR="009A2152">
        <w:rPr>
          <w:rFonts w:ascii="Times New Roman" w:eastAsia="Times New Roman" w:hAnsi="Times New Roman"/>
          <w:sz w:val="24"/>
          <w:szCs w:val="24"/>
          <w:lang w:eastAsia="ru-RU"/>
        </w:rPr>
        <w:t>у минеральных удобрений Филиал «</w:t>
      </w:r>
      <w:r w:rsidRPr="00AF44A5">
        <w:rPr>
          <w:rFonts w:ascii="Times New Roman" w:eastAsia="Times New Roman" w:hAnsi="Times New Roman"/>
          <w:sz w:val="24"/>
          <w:szCs w:val="24"/>
          <w:lang w:eastAsia="ru-RU"/>
        </w:rPr>
        <w:t>ВМУ</w:t>
      </w:r>
      <w:r w:rsidR="009A215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AF44A5">
        <w:rPr>
          <w:rFonts w:ascii="Times New Roman" w:eastAsia="Times New Roman" w:hAnsi="Times New Roman"/>
          <w:sz w:val="24"/>
          <w:szCs w:val="24"/>
          <w:lang w:eastAsia="ru-RU"/>
        </w:rPr>
        <w:t xml:space="preserve"> АО </w:t>
      </w:r>
      <w:r w:rsidR="009A215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AF44A5">
        <w:rPr>
          <w:rFonts w:ascii="Times New Roman" w:eastAsia="Times New Roman" w:hAnsi="Times New Roman"/>
          <w:sz w:val="24"/>
          <w:szCs w:val="24"/>
          <w:lang w:eastAsia="ru-RU"/>
        </w:rPr>
        <w:t xml:space="preserve">ОХК </w:t>
      </w:r>
      <w:r w:rsidR="009A215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AF44A5">
        <w:rPr>
          <w:rFonts w:ascii="Times New Roman" w:eastAsia="Times New Roman" w:hAnsi="Times New Roman"/>
          <w:sz w:val="24"/>
          <w:szCs w:val="24"/>
          <w:lang w:eastAsia="ru-RU"/>
        </w:rPr>
        <w:t>Уралхим</w:t>
      </w:r>
      <w:r w:rsidR="009A215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AF44A5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ежегодно показыв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ает стабильный устойчивый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рост, </w:t>
      </w:r>
      <w:r w:rsidRPr="00AF44A5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составляющий более четверти (25%) в общем объеме отгруженных товаров по г.о. Воскресенск.  </w:t>
      </w:r>
    </w:p>
    <w:p w:rsidR="00E00C6F" w:rsidRDefault="00E00C6F" w:rsidP="008603FC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2025 году также ожидается рост промышленного производства на уровне 17,3%.  Значение показателя по оценке составит 117 388,8 млн. руб. На сохранение тенденции будет влиять эффективная работа крупных промышленных предприятий, а также наращивание мощностей и развитие новых производств, например, </w:t>
      </w:r>
      <w:r w:rsidRPr="00AF44A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ОО </w:t>
      </w:r>
      <w:r w:rsidR="00823CF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Террако Индустрия</w:t>
      </w:r>
      <w:r w:rsidR="00823CF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AF44A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23CF6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компания ООО «Цементум Центр»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г.Воскресенск, ООО «Белтелекабель», ООО «Элска»</w:t>
      </w:r>
      <w:r w:rsidRPr="00AF44A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00C6F" w:rsidRPr="003364E4" w:rsidRDefault="00E00C6F" w:rsidP="00E00C6F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194">
        <w:rPr>
          <w:rFonts w:ascii="Times New Roman" w:eastAsia="Times New Roman" w:hAnsi="Times New Roman"/>
          <w:sz w:val="24"/>
          <w:szCs w:val="24"/>
          <w:lang w:eastAsia="ru-RU"/>
        </w:rPr>
        <w:t>В прогнозируемом периоде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2026-2028 годов темп</w:t>
      </w:r>
      <w:r w:rsidRPr="0010619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роста объем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 промышленного производства ожидается на</w:t>
      </w:r>
      <w:r w:rsidRPr="00106194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06194">
        <w:rPr>
          <w:rFonts w:ascii="Times New Roman" w:eastAsia="Times New Roman" w:hAnsi="Times New Roman"/>
          <w:sz w:val="24"/>
          <w:szCs w:val="24"/>
          <w:lang w:eastAsia="ru-RU"/>
        </w:rPr>
        <w:t xml:space="preserve"> 117,9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-118,0%, объем отгруженных товаров собственного производства, выполненных работ и оказанных услуг</w:t>
      </w:r>
      <w:r w:rsidRPr="00D66F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2028 году составит 192 531,2 млн. руб.  Увеличению объёмов промышленного производства будет способствовать стабильная работа действующих предприятий округа, а также реализация инвестиционных проектов новых производств, таких как ООО «СМЕП», ООО «Северный океан», ООО «НПО «АСТА». </w:t>
      </w:r>
    </w:p>
    <w:p w:rsidR="005C77D8" w:rsidRDefault="00E00C6F" w:rsidP="008F7CF0">
      <w:pPr>
        <w:pStyle w:val="ab"/>
        <w:spacing w:after="0" w:line="240" w:lineRule="auto"/>
        <w:ind w:left="0" w:firstLine="567"/>
        <w:jc w:val="both"/>
        <w:rPr>
          <w:b/>
          <w:bCs/>
          <w:sz w:val="24"/>
          <w:szCs w:val="24"/>
        </w:rPr>
      </w:pPr>
      <w:r w:rsidRPr="007F73A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</w:t>
      </w:r>
    </w:p>
    <w:p w:rsidR="008F7CF0" w:rsidRDefault="00E00C6F" w:rsidP="008F7CF0">
      <w:pPr>
        <w:pStyle w:val="a9"/>
        <w:spacing w:after="0"/>
        <w:jc w:val="center"/>
        <w:rPr>
          <w:b/>
          <w:bCs/>
          <w:sz w:val="24"/>
          <w:szCs w:val="24"/>
        </w:rPr>
      </w:pPr>
      <w:r w:rsidRPr="00D237AC">
        <w:rPr>
          <w:b/>
          <w:bCs/>
          <w:sz w:val="24"/>
          <w:szCs w:val="24"/>
        </w:rPr>
        <w:t>Раздел 7. Малое и среднее предпринимательство</w:t>
      </w:r>
    </w:p>
    <w:p w:rsidR="008603FC" w:rsidRPr="008F7CF0" w:rsidRDefault="00E00C6F" w:rsidP="008F7CF0">
      <w:pPr>
        <w:pStyle w:val="a9"/>
        <w:spacing w:after="0"/>
        <w:ind w:left="0" w:firstLine="708"/>
        <w:jc w:val="both"/>
        <w:rPr>
          <w:b/>
          <w:bCs/>
          <w:sz w:val="24"/>
          <w:szCs w:val="24"/>
        </w:rPr>
      </w:pPr>
      <w:r w:rsidRPr="008603FC">
        <w:rPr>
          <w:sz w:val="24"/>
          <w:szCs w:val="24"/>
        </w:rPr>
        <w:t>По итогам 2024 года на территории городского округа Воскресенск осуществляли свою деятельность 1 404 субъекта малого и среднего предпринимательства. Основными сферами деятельности субъектов МСП являются производственная, т</w:t>
      </w:r>
      <w:r w:rsidR="008603FC" w:rsidRPr="008603FC">
        <w:rPr>
          <w:sz w:val="24"/>
          <w:szCs w:val="24"/>
        </w:rPr>
        <w:t>орговая и сфера оказания услуг.</w:t>
      </w:r>
    </w:p>
    <w:p w:rsidR="00E00C6F" w:rsidRPr="008603FC" w:rsidRDefault="00E00C6F" w:rsidP="008F7CF0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3FC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Среднесписочная численность работающих в организациях МСП (без учета ИП) составила 6 899 человек, что 3,1% выше данных 2023 года. </w:t>
      </w:r>
    </w:p>
    <w:p w:rsidR="00E00C6F" w:rsidRPr="008603FC" w:rsidRDefault="00E00C6F" w:rsidP="008F7CF0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3FC">
        <w:rPr>
          <w:rFonts w:ascii="Times New Roman" w:eastAsia="Times New Roman" w:hAnsi="Times New Roman"/>
          <w:sz w:val="24"/>
          <w:szCs w:val="24"/>
          <w:lang w:eastAsia="ru-RU"/>
        </w:rPr>
        <w:t xml:space="preserve">В текущем 2025 году значение показателя по количеству субъектов МСП оценивается на уровне предыдущего года с минимальным приростом до 1409 ед. за счет увеличения количества микропредприятий. </w:t>
      </w:r>
    </w:p>
    <w:p w:rsidR="00E00C6F" w:rsidRDefault="00E00C6F" w:rsidP="008F7CF0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3FC">
        <w:rPr>
          <w:rFonts w:ascii="Times New Roman" w:eastAsia="Times New Roman" w:hAnsi="Times New Roman"/>
          <w:sz w:val="24"/>
          <w:szCs w:val="24"/>
          <w:lang w:eastAsia="ru-RU"/>
        </w:rPr>
        <w:t>В периоде 2026-2028 годов прогнозируется сохранение тенденции к увеличению количества субъектов МСП – к 2028 году значение показателя составит 1 440 ед. Сохранению положительной динамики будет способствовать реализация мер государственной поддержки субъектов МСП и популяризация предпринимательской деятельности.</w:t>
      </w:r>
    </w:p>
    <w:p w:rsidR="008603FC" w:rsidRPr="008603FC" w:rsidRDefault="008603FC" w:rsidP="008603FC">
      <w:pPr>
        <w:pStyle w:val="ab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0C6F" w:rsidRDefault="00E00C6F" w:rsidP="008603FC">
      <w:pPr>
        <w:spacing w:after="0"/>
        <w:ind w:firstLine="8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C6F">
        <w:rPr>
          <w:rFonts w:ascii="Times New Roman" w:hAnsi="Times New Roman" w:cs="Times New Roman"/>
          <w:b/>
          <w:sz w:val="24"/>
          <w:szCs w:val="24"/>
        </w:rPr>
        <w:t>Раздел 8. Инвестиции</w:t>
      </w:r>
    </w:p>
    <w:p w:rsidR="008603FC" w:rsidRPr="00E00C6F" w:rsidRDefault="008603FC" w:rsidP="008603FC">
      <w:pPr>
        <w:spacing w:after="0"/>
        <w:ind w:firstLine="8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C6F" w:rsidRPr="00E00C6F" w:rsidRDefault="00E00C6F" w:rsidP="008603FC">
      <w:pPr>
        <w:spacing w:after="0"/>
        <w:ind w:firstLine="825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0C6F">
        <w:rPr>
          <w:rFonts w:ascii="Times New Roman" w:hAnsi="Times New Roman" w:cs="Times New Roman"/>
          <w:sz w:val="24"/>
          <w:szCs w:val="24"/>
        </w:rPr>
        <w:t>Привлечение инвестиций в экономику является одной из важнейших задач городского округа Воскресенск.</w:t>
      </w:r>
      <w:r w:rsidRPr="00E00C6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Pr="00E00C6F">
        <w:rPr>
          <w:rFonts w:ascii="Times New Roman" w:hAnsi="Times New Roman" w:cs="Times New Roman"/>
          <w:sz w:val="24"/>
          <w:szCs w:val="24"/>
          <w:lang w:bidi="ru-RU"/>
        </w:rPr>
        <w:t>Инвестиционная привлекательность округа определяется наличием определенных конкурентных преимуществ, таких как выгодное географическое положение и современная развитая транспортная инфраструктура.</w:t>
      </w:r>
    </w:p>
    <w:p w:rsidR="00E00C6F" w:rsidRPr="00E00C6F" w:rsidRDefault="00E00C6F" w:rsidP="008603FC">
      <w:pPr>
        <w:spacing w:after="0"/>
        <w:ind w:firstLine="825"/>
        <w:jc w:val="both"/>
        <w:rPr>
          <w:rFonts w:ascii="Times New Roman" w:hAnsi="Times New Roman" w:cs="Times New Roman"/>
          <w:sz w:val="24"/>
          <w:szCs w:val="24"/>
        </w:rPr>
      </w:pPr>
      <w:r w:rsidRPr="00E00C6F">
        <w:rPr>
          <w:rFonts w:ascii="Times New Roman" w:hAnsi="Times New Roman" w:cs="Times New Roman"/>
          <w:sz w:val="24"/>
          <w:szCs w:val="24"/>
        </w:rPr>
        <w:t xml:space="preserve">Объем инвестиций в основной капитал крупных и средних предприятий в 2024 году показал стабильную положительную динамику, темп роста составил 116,5%. Такой рост обусловлен реализацией крупными и средними предприятиями инвестиционных проектов по расширению и модернизации производственных линий, увеличению складских и торговых площадей.  В 2024 году реализовали свои инвестиционные программы Филиал </w:t>
      </w:r>
      <w:r w:rsidR="00823CF6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>ВМУ</w:t>
      </w:r>
      <w:r w:rsidR="00823CF6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 xml:space="preserve"> АО </w:t>
      </w:r>
      <w:r w:rsidR="00823CF6">
        <w:rPr>
          <w:rFonts w:ascii="Times New Roman" w:hAnsi="Times New Roman" w:cs="Times New Roman"/>
          <w:sz w:val="24"/>
          <w:szCs w:val="24"/>
        </w:rPr>
        <w:t>«ОХК «</w:t>
      </w:r>
      <w:r w:rsidRPr="00E00C6F">
        <w:rPr>
          <w:rFonts w:ascii="Times New Roman" w:hAnsi="Times New Roman" w:cs="Times New Roman"/>
          <w:sz w:val="24"/>
          <w:szCs w:val="24"/>
        </w:rPr>
        <w:t>Уралхим</w:t>
      </w:r>
      <w:r w:rsidR="00823CF6">
        <w:rPr>
          <w:rFonts w:ascii="Times New Roman" w:hAnsi="Times New Roman" w:cs="Times New Roman"/>
          <w:sz w:val="24"/>
          <w:szCs w:val="24"/>
        </w:rPr>
        <w:t>» в г. Воскресенске, ООО «</w:t>
      </w:r>
      <w:r w:rsidRPr="00E00C6F">
        <w:rPr>
          <w:rFonts w:ascii="Times New Roman" w:hAnsi="Times New Roman" w:cs="Times New Roman"/>
          <w:sz w:val="24"/>
          <w:szCs w:val="24"/>
        </w:rPr>
        <w:t xml:space="preserve">ТК </w:t>
      </w:r>
      <w:r w:rsidR="00823CF6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>Подмосковье</w:t>
      </w:r>
      <w:r w:rsidR="00823CF6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>, ООО «ССЦ Эко-Технологии»,</w:t>
      </w:r>
      <w:r w:rsidR="00823CF6">
        <w:rPr>
          <w:rFonts w:ascii="Times New Roman" w:hAnsi="Times New Roman" w:cs="Times New Roman"/>
          <w:sz w:val="24"/>
          <w:szCs w:val="24"/>
        </w:rPr>
        <w:t xml:space="preserve"> </w:t>
      </w:r>
      <w:r w:rsidR="00823CF6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компания ООО «Цементум Центр» в г.Воскресенск</w:t>
      </w:r>
      <w:r w:rsidRPr="00E00C6F">
        <w:rPr>
          <w:rFonts w:ascii="Times New Roman" w:hAnsi="Times New Roman" w:cs="Times New Roman"/>
          <w:sz w:val="24"/>
          <w:szCs w:val="24"/>
        </w:rPr>
        <w:t xml:space="preserve">, Воскресенский филиал ООО </w:t>
      </w:r>
      <w:r w:rsidR="00823CF6">
        <w:rPr>
          <w:rFonts w:ascii="Times New Roman" w:hAnsi="Times New Roman" w:cs="Times New Roman"/>
          <w:sz w:val="24"/>
          <w:szCs w:val="24"/>
        </w:rPr>
        <w:t>«Завод Технофлекс»</w:t>
      </w:r>
      <w:r w:rsidRPr="00E00C6F">
        <w:rPr>
          <w:rFonts w:ascii="Times New Roman" w:hAnsi="Times New Roman" w:cs="Times New Roman"/>
          <w:sz w:val="24"/>
          <w:szCs w:val="24"/>
        </w:rPr>
        <w:t xml:space="preserve">, ООО </w:t>
      </w:r>
      <w:r w:rsidR="00823CF6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>ЗПИ</w:t>
      </w:r>
      <w:r w:rsidR="00823CF6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 xml:space="preserve">, ООО </w:t>
      </w:r>
      <w:r w:rsidR="00823CF6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>Террако Индустрия</w:t>
      </w:r>
      <w:r w:rsidR="00823CF6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 xml:space="preserve">, ООО </w:t>
      </w:r>
      <w:r w:rsidR="00823CF6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>Белтелекабель</w:t>
      </w:r>
      <w:r w:rsidR="00823CF6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 xml:space="preserve">, ООО </w:t>
      </w:r>
      <w:r w:rsidR="00823CF6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 xml:space="preserve">Волма </w:t>
      </w:r>
      <w:r w:rsidR="00823CF6">
        <w:rPr>
          <w:rFonts w:ascii="Times New Roman" w:hAnsi="Times New Roman" w:cs="Times New Roman"/>
          <w:sz w:val="24"/>
          <w:szCs w:val="24"/>
        </w:rPr>
        <w:t>–</w:t>
      </w:r>
      <w:r w:rsidRPr="00E00C6F">
        <w:rPr>
          <w:rFonts w:ascii="Times New Roman" w:hAnsi="Times New Roman" w:cs="Times New Roman"/>
          <w:sz w:val="24"/>
          <w:szCs w:val="24"/>
        </w:rPr>
        <w:t xml:space="preserve"> Воскресенск</w:t>
      </w:r>
      <w:r w:rsidR="00823CF6">
        <w:rPr>
          <w:rFonts w:ascii="Times New Roman" w:hAnsi="Times New Roman" w:cs="Times New Roman"/>
          <w:sz w:val="24"/>
          <w:szCs w:val="24"/>
        </w:rPr>
        <w:t>», ООО «</w:t>
      </w:r>
      <w:r w:rsidRPr="00E00C6F">
        <w:rPr>
          <w:rFonts w:ascii="Times New Roman" w:hAnsi="Times New Roman" w:cs="Times New Roman"/>
          <w:sz w:val="24"/>
          <w:szCs w:val="24"/>
        </w:rPr>
        <w:t>Джодас Экспоим</w:t>
      </w:r>
      <w:r w:rsidR="00823CF6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 xml:space="preserve">, АО </w:t>
      </w:r>
      <w:r w:rsidR="00823CF6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>Воскресенск-Химволокно</w:t>
      </w:r>
      <w:r w:rsidR="00823CF6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 xml:space="preserve">, ФЛ </w:t>
      </w:r>
      <w:r w:rsidR="00823CF6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 xml:space="preserve">Воскресенский машиностроительный завод </w:t>
      </w:r>
      <w:r w:rsidR="00823CF6">
        <w:rPr>
          <w:rFonts w:ascii="Times New Roman" w:hAnsi="Times New Roman" w:cs="Times New Roman"/>
          <w:sz w:val="24"/>
          <w:szCs w:val="24"/>
        </w:rPr>
        <w:t>«Салют»</w:t>
      </w:r>
      <w:r w:rsidRPr="00E00C6F">
        <w:rPr>
          <w:rFonts w:ascii="Times New Roman" w:hAnsi="Times New Roman" w:cs="Times New Roman"/>
          <w:sz w:val="24"/>
          <w:szCs w:val="24"/>
        </w:rPr>
        <w:t xml:space="preserve"> АО </w:t>
      </w:r>
      <w:r w:rsidR="00823CF6">
        <w:rPr>
          <w:rFonts w:ascii="Times New Roman" w:hAnsi="Times New Roman" w:cs="Times New Roman"/>
          <w:sz w:val="24"/>
          <w:szCs w:val="24"/>
        </w:rPr>
        <w:t>«ОДК»</w:t>
      </w:r>
      <w:r w:rsidRPr="00E00C6F">
        <w:rPr>
          <w:rFonts w:ascii="Times New Roman" w:hAnsi="Times New Roman" w:cs="Times New Roman"/>
          <w:sz w:val="24"/>
          <w:szCs w:val="24"/>
        </w:rPr>
        <w:t>.</w:t>
      </w:r>
    </w:p>
    <w:p w:rsidR="00E00C6F" w:rsidRPr="00E00C6F" w:rsidRDefault="00E00C6F" w:rsidP="008603FC">
      <w:pPr>
        <w:spacing w:after="0"/>
        <w:ind w:firstLine="825"/>
        <w:jc w:val="both"/>
        <w:rPr>
          <w:rFonts w:ascii="Times New Roman" w:hAnsi="Times New Roman" w:cs="Times New Roman"/>
          <w:sz w:val="24"/>
          <w:szCs w:val="24"/>
        </w:rPr>
      </w:pPr>
      <w:r w:rsidRPr="00E00C6F">
        <w:rPr>
          <w:rFonts w:ascii="Times New Roman" w:hAnsi="Times New Roman" w:cs="Times New Roman"/>
          <w:sz w:val="24"/>
          <w:szCs w:val="24"/>
        </w:rPr>
        <w:t>В 2025 году вложение инвестиций планируется на уровне 22 942,49 млн. руб., темп роста показателя составит 112,3%. В текущем году реализацию инвест</w:t>
      </w:r>
      <w:r w:rsidR="00823CF6">
        <w:rPr>
          <w:rFonts w:ascii="Times New Roman" w:hAnsi="Times New Roman" w:cs="Times New Roman"/>
          <w:sz w:val="24"/>
          <w:szCs w:val="24"/>
        </w:rPr>
        <w:t>иционных программ продолжат Филиал «ВМУ»</w:t>
      </w:r>
      <w:r w:rsidR="00FA3619">
        <w:rPr>
          <w:rFonts w:ascii="Times New Roman" w:hAnsi="Times New Roman" w:cs="Times New Roman"/>
          <w:sz w:val="24"/>
          <w:szCs w:val="24"/>
        </w:rPr>
        <w:t xml:space="preserve"> АО «ОХК «</w:t>
      </w:r>
      <w:r w:rsidRPr="00E00C6F">
        <w:rPr>
          <w:rFonts w:ascii="Times New Roman" w:hAnsi="Times New Roman" w:cs="Times New Roman"/>
          <w:sz w:val="24"/>
          <w:szCs w:val="24"/>
        </w:rPr>
        <w:t>Уралхим</w:t>
      </w:r>
      <w:r w:rsidR="00FA3619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 xml:space="preserve"> в г. Воскресе</w:t>
      </w:r>
      <w:r w:rsidR="00FA3619">
        <w:rPr>
          <w:rFonts w:ascii="Times New Roman" w:hAnsi="Times New Roman" w:cs="Times New Roman"/>
          <w:sz w:val="24"/>
          <w:szCs w:val="24"/>
        </w:rPr>
        <w:t>нске, Воскресенский филиал ООО «Завод Технофлекс»</w:t>
      </w:r>
      <w:r w:rsidRPr="00E00C6F">
        <w:rPr>
          <w:rFonts w:ascii="Times New Roman" w:hAnsi="Times New Roman" w:cs="Times New Roman"/>
          <w:sz w:val="24"/>
          <w:szCs w:val="24"/>
        </w:rPr>
        <w:t xml:space="preserve">, ООО </w:t>
      </w:r>
      <w:r w:rsidR="00FA3619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>ЗПИ</w:t>
      </w:r>
      <w:r w:rsidR="00FA3619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 xml:space="preserve">, ООО </w:t>
      </w:r>
      <w:r w:rsidR="00FA3619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>Северный Океан</w:t>
      </w:r>
      <w:r w:rsidR="00FA3619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 xml:space="preserve">, ООО </w:t>
      </w:r>
      <w:r w:rsidR="00FA3619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 xml:space="preserve">ПК </w:t>
      </w:r>
      <w:r w:rsidR="00FA3619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>Евратон</w:t>
      </w:r>
      <w:r w:rsidR="00FA3619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>,</w:t>
      </w:r>
      <w:r w:rsidR="00FA3619">
        <w:rPr>
          <w:rFonts w:ascii="Times New Roman" w:hAnsi="Times New Roman" w:cs="Times New Roman"/>
          <w:sz w:val="24"/>
          <w:szCs w:val="24"/>
        </w:rPr>
        <w:t xml:space="preserve"> производственная компания ООО «</w:t>
      </w:r>
      <w:r w:rsidRPr="00E00C6F">
        <w:rPr>
          <w:rFonts w:ascii="Times New Roman" w:hAnsi="Times New Roman" w:cs="Times New Roman"/>
          <w:sz w:val="24"/>
          <w:szCs w:val="24"/>
        </w:rPr>
        <w:t>Цементум Центр</w:t>
      </w:r>
      <w:r w:rsidR="00FA3619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 xml:space="preserve"> в г. Воскресенск, ФЛ </w:t>
      </w:r>
      <w:r w:rsidR="00FA3619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 xml:space="preserve">Воскресенский машиностроительный завод </w:t>
      </w:r>
      <w:r w:rsidR="00FA3619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>Салют</w:t>
      </w:r>
      <w:r w:rsidR="00FA3619">
        <w:rPr>
          <w:rFonts w:ascii="Times New Roman" w:hAnsi="Times New Roman" w:cs="Times New Roman"/>
          <w:sz w:val="24"/>
          <w:szCs w:val="24"/>
        </w:rPr>
        <w:t>», АО «</w:t>
      </w:r>
      <w:r w:rsidRPr="00E00C6F">
        <w:rPr>
          <w:rFonts w:ascii="Times New Roman" w:hAnsi="Times New Roman" w:cs="Times New Roman"/>
          <w:sz w:val="24"/>
          <w:szCs w:val="24"/>
        </w:rPr>
        <w:t>ОДК</w:t>
      </w:r>
      <w:r w:rsidR="00FA3619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 xml:space="preserve">, ООО «ССЦ Эко-Технологии». Планирует начать инвестиционную программу новый привлеченный инвестор ООО </w:t>
      </w:r>
      <w:r w:rsidR="00FA3619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>Экосистема</w:t>
      </w:r>
      <w:r w:rsidR="00FA3619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>.</w:t>
      </w:r>
    </w:p>
    <w:p w:rsidR="00E00C6F" w:rsidRPr="00E00C6F" w:rsidRDefault="00E00C6F" w:rsidP="008603FC">
      <w:pPr>
        <w:spacing w:after="0"/>
        <w:ind w:firstLine="825"/>
        <w:jc w:val="both"/>
        <w:rPr>
          <w:rFonts w:ascii="Times New Roman" w:hAnsi="Times New Roman" w:cs="Times New Roman"/>
          <w:sz w:val="24"/>
          <w:szCs w:val="24"/>
        </w:rPr>
      </w:pPr>
      <w:r w:rsidRPr="00E00C6F">
        <w:rPr>
          <w:rFonts w:ascii="Times New Roman" w:hAnsi="Times New Roman" w:cs="Times New Roman"/>
          <w:sz w:val="24"/>
          <w:szCs w:val="24"/>
        </w:rPr>
        <w:lastRenderedPageBreak/>
        <w:t>Участие городского округа Воскресенск в региональных программах поддержи развития инвестиционной деятельности будет способствовать сохранению благоприятного инвестиционного климата и дальнейшему привлечению инвестиций в округ. Ежегодный прирост объема инвестиций в прогнозируемом периоде 2026-2028 годов планируется от 5,8 % до 7,0 %. Инвестиционные вложения в основной капитал продолжат крупные и средн</w:t>
      </w:r>
      <w:r w:rsidR="00FA3619">
        <w:rPr>
          <w:rFonts w:ascii="Times New Roman" w:hAnsi="Times New Roman" w:cs="Times New Roman"/>
          <w:sz w:val="24"/>
          <w:szCs w:val="24"/>
        </w:rPr>
        <w:t>ие предприятия округа - Филиал «ВМУ»</w:t>
      </w:r>
      <w:r w:rsidRPr="00E00C6F">
        <w:rPr>
          <w:rFonts w:ascii="Times New Roman" w:hAnsi="Times New Roman" w:cs="Times New Roman"/>
          <w:sz w:val="24"/>
          <w:szCs w:val="24"/>
        </w:rPr>
        <w:t xml:space="preserve"> АО </w:t>
      </w:r>
      <w:r w:rsidR="00FA3619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 xml:space="preserve">ОХК </w:t>
      </w:r>
      <w:r w:rsidR="00FA3619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>Уралхим</w:t>
      </w:r>
      <w:r w:rsidR="00FA3619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 xml:space="preserve"> в г. Воскресенске, ООО «Эрисманн», ООО «КДВ-Воскресенск», ООО «Фильтротекс», ООО «Фабрика Николь Пак», а также вновь привлеченные инвесторы – ООО «Северный океан»</w:t>
      </w:r>
      <w:r w:rsidR="00FA3619">
        <w:rPr>
          <w:rFonts w:ascii="Times New Roman" w:hAnsi="Times New Roman" w:cs="Times New Roman"/>
          <w:sz w:val="24"/>
          <w:szCs w:val="24"/>
        </w:rPr>
        <w:t>, ООО «Стулгрупп», ООО «ПК «Евра</w:t>
      </w:r>
      <w:r w:rsidRPr="00E00C6F">
        <w:rPr>
          <w:rFonts w:ascii="Times New Roman" w:hAnsi="Times New Roman" w:cs="Times New Roman"/>
          <w:sz w:val="24"/>
          <w:szCs w:val="24"/>
        </w:rPr>
        <w:t xml:space="preserve">тон», ООО «ССЦ Эко-Технологии», ООО «Экосистема».  К 2028 году прогнозируемый объём инвестиций достигнет значения 27 969,84 млн. рублей. </w:t>
      </w:r>
    </w:p>
    <w:p w:rsidR="005C77D8" w:rsidRDefault="005C77D8" w:rsidP="008603FC">
      <w:pPr>
        <w:spacing w:after="0"/>
        <w:ind w:firstLine="8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597" w:rsidRDefault="00E00C6F" w:rsidP="008603FC">
      <w:pPr>
        <w:spacing w:after="0"/>
        <w:ind w:firstLine="8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C6F">
        <w:rPr>
          <w:rFonts w:ascii="Times New Roman" w:hAnsi="Times New Roman" w:cs="Times New Roman"/>
          <w:b/>
          <w:sz w:val="24"/>
          <w:szCs w:val="24"/>
        </w:rPr>
        <w:t>Раздел 9.  Строительство</w:t>
      </w:r>
    </w:p>
    <w:p w:rsidR="005C77D8" w:rsidRDefault="005C77D8" w:rsidP="008603FC">
      <w:pPr>
        <w:spacing w:after="0"/>
        <w:ind w:firstLine="8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C6F" w:rsidRPr="00E00C6F" w:rsidRDefault="00E00C6F" w:rsidP="008603FC">
      <w:pPr>
        <w:spacing w:after="0"/>
        <w:ind w:firstLine="825"/>
        <w:jc w:val="both"/>
        <w:rPr>
          <w:rFonts w:ascii="Times New Roman" w:hAnsi="Times New Roman" w:cs="Times New Roman"/>
          <w:sz w:val="24"/>
          <w:szCs w:val="24"/>
        </w:rPr>
      </w:pPr>
      <w:r w:rsidRPr="00E00C6F">
        <w:rPr>
          <w:rFonts w:ascii="Times New Roman" w:hAnsi="Times New Roman" w:cs="Times New Roman"/>
          <w:sz w:val="24"/>
          <w:szCs w:val="24"/>
        </w:rPr>
        <w:t>В 2024 году объем жилищного строительства в округе составил 163 тыс. кв. м</w:t>
      </w:r>
      <w:r w:rsidR="008D1597">
        <w:rPr>
          <w:rFonts w:ascii="Times New Roman" w:hAnsi="Times New Roman" w:cs="Times New Roman"/>
          <w:sz w:val="24"/>
          <w:szCs w:val="24"/>
        </w:rPr>
        <w:t>етров</w:t>
      </w:r>
      <w:r w:rsidRPr="00E00C6F">
        <w:rPr>
          <w:rFonts w:ascii="Times New Roman" w:hAnsi="Times New Roman" w:cs="Times New Roman"/>
          <w:sz w:val="24"/>
          <w:szCs w:val="24"/>
        </w:rPr>
        <w:t xml:space="preserve"> общей площади. Данный объем полностью приходится на ввод ИЖС, так как ввод многоквартирных домов на территории городского округа Воскресенск в 2024 году не осуществлялся. Объем ввода ИЖС в 2024 году увеличился по сравнению с 2023 годом на 6,9 %. На данный показатель в том числе влияет активность населения в переводе дачных строений в разряд жилых домов.</w:t>
      </w:r>
    </w:p>
    <w:p w:rsidR="00E00C6F" w:rsidRPr="00E00C6F" w:rsidRDefault="00E00C6F" w:rsidP="008D1597">
      <w:pPr>
        <w:spacing w:after="0"/>
        <w:ind w:firstLine="825"/>
        <w:jc w:val="both"/>
        <w:rPr>
          <w:rFonts w:ascii="Times New Roman" w:hAnsi="Times New Roman" w:cs="Times New Roman"/>
          <w:sz w:val="24"/>
          <w:szCs w:val="24"/>
        </w:rPr>
      </w:pPr>
      <w:r w:rsidRPr="00E00C6F">
        <w:rPr>
          <w:rFonts w:ascii="Times New Roman" w:hAnsi="Times New Roman" w:cs="Times New Roman"/>
          <w:sz w:val="24"/>
          <w:szCs w:val="24"/>
        </w:rPr>
        <w:t>В 2025 году строительство и ввод МКД также не планируется.  Ввод ИЖС в 2024 году предполагается на уровне 139,0 тыс. кв. м.</w:t>
      </w:r>
    </w:p>
    <w:p w:rsidR="00E00C6F" w:rsidRPr="00E00C6F" w:rsidRDefault="00E00C6F" w:rsidP="008D1597">
      <w:pPr>
        <w:spacing w:after="0"/>
        <w:ind w:firstLine="82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00C6F">
        <w:rPr>
          <w:rFonts w:ascii="Times New Roman" w:hAnsi="Times New Roman" w:cs="Times New Roman"/>
          <w:sz w:val="24"/>
          <w:szCs w:val="24"/>
        </w:rPr>
        <w:t>В отношении индивидуального жилищного строительства прогнозируется постепенное снижение показателя до уровня 89 тыс. кв. метров (базовый вариант 2028 года) в связи с уменьшением количества заявлений на строительство ИЖС.</w:t>
      </w:r>
      <w:r w:rsidRPr="00E00C6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E00C6F" w:rsidRPr="00E00C6F" w:rsidRDefault="00E00C6F" w:rsidP="00E00C6F">
      <w:pPr>
        <w:ind w:firstLine="825"/>
        <w:jc w:val="both"/>
        <w:rPr>
          <w:rFonts w:ascii="Times New Roman" w:hAnsi="Times New Roman" w:cs="Times New Roman"/>
          <w:sz w:val="24"/>
          <w:szCs w:val="24"/>
        </w:rPr>
      </w:pPr>
      <w:r w:rsidRPr="00E00C6F">
        <w:rPr>
          <w:rFonts w:ascii="Times New Roman" w:hAnsi="Times New Roman" w:cs="Times New Roman"/>
          <w:sz w:val="24"/>
          <w:szCs w:val="24"/>
        </w:rPr>
        <w:t>Следует отметить, что в городском округе Воскресенск принята программа комплексного развития территории, в рамках реализации которой в прогнозном периоде планируется начать строительство МКД, ввод которых будет осуществлен в последующие периоды.</w:t>
      </w:r>
    </w:p>
    <w:p w:rsidR="00E00C6F" w:rsidRDefault="00E00C6F" w:rsidP="008D1597">
      <w:pPr>
        <w:spacing w:after="0"/>
        <w:ind w:firstLine="8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C6F">
        <w:rPr>
          <w:rFonts w:ascii="Times New Roman" w:hAnsi="Times New Roman" w:cs="Times New Roman"/>
          <w:b/>
          <w:sz w:val="24"/>
          <w:szCs w:val="24"/>
        </w:rPr>
        <w:t>Раздел 1</w:t>
      </w:r>
      <w:r w:rsidR="007E1444">
        <w:rPr>
          <w:rFonts w:ascii="Times New Roman" w:hAnsi="Times New Roman" w:cs="Times New Roman"/>
          <w:b/>
          <w:sz w:val="24"/>
          <w:szCs w:val="24"/>
        </w:rPr>
        <w:t>1</w:t>
      </w:r>
      <w:r w:rsidRPr="00E00C6F">
        <w:rPr>
          <w:rFonts w:ascii="Times New Roman" w:hAnsi="Times New Roman" w:cs="Times New Roman"/>
          <w:b/>
          <w:sz w:val="24"/>
          <w:szCs w:val="24"/>
        </w:rPr>
        <w:t xml:space="preserve">. Труд и заработная плата </w:t>
      </w:r>
    </w:p>
    <w:p w:rsidR="008D1597" w:rsidRDefault="008D1597" w:rsidP="008D1597">
      <w:pPr>
        <w:spacing w:after="0"/>
        <w:ind w:firstLine="8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C6F" w:rsidRPr="00E00C6F" w:rsidRDefault="00E00C6F" w:rsidP="008D15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C6F">
        <w:rPr>
          <w:rFonts w:ascii="Times New Roman" w:hAnsi="Times New Roman" w:cs="Times New Roman"/>
          <w:sz w:val="24"/>
          <w:szCs w:val="24"/>
        </w:rPr>
        <w:t>Фонд заработной платы по полному кругу организаций за 2024 год, оценка за 2025 год и прогноз показателей на 2026-2028 годы рассчитаны с учетом сложившейся базы 2024 года и статистических данных за первые пять месяцев 2025 года. При расчете общего фонда заработной платы были использованы формы федерального статистического наблюдения.</w:t>
      </w:r>
    </w:p>
    <w:p w:rsidR="00E00C6F" w:rsidRPr="00E00C6F" w:rsidRDefault="00E00C6F" w:rsidP="008D15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C6F">
        <w:rPr>
          <w:rFonts w:ascii="Times New Roman" w:hAnsi="Times New Roman" w:cs="Times New Roman"/>
          <w:sz w:val="24"/>
          <w:szCs w:val="24"/>
        </w:rPr>
        <w:t>Фонд начисленной заработной платы по полному кругу организаций в 2024 году увеличился по сравнению с 2023 годом на 22,7 % и составил 29 886,8 млн. рублей. Фонд заработной платы вырос в основном за счет увеличения уровня среднемесячной заработной платы на стабильно работающих крупных и средних предприятиях округа. В 2024 году ее размер составил 88 809,6 рублей, а среднемесячная начисленная заработная плата работников по полному кругу организаций составила 81 741 рубль.</w:t>
      </w:r>
    </w:p>
    <w:p w:rsidR="00E00C6F" w:rsidRPr="00E00C6F" w:rsidRDefault="00E00C6F" w:rsidP="008D15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C6F">
        <w:rPr>
          <w:rFonts w:ascii="Times New Roman" w:hAnsi="Times New Roman" w:cs="Times New Roman"/>
          <w:sz w:val="24"/>
          <w:szCs w:val="24"/>
        </w:rPr>
        <w:t>Устойчивый рост заработной платы и среднесписочной численности окажут влияние на рост фонда также в оценочном и прогнозном периодах.</w:t>
      </w:r>
    </w:p>
    <w:p w:rsidR="00E00C6F" w:rsidRPr="00E00C6F" w:rsidRDefault="00E00C6F" w:rsidP="008D15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C6F">
        <w:rPr>
          <w:rFonts w:ascii="Times New Roman" w:hAnsi="Times New Roman" w:cs="Times New Roman"/>
          <w:sz w:val="24"/>
          <w:szCs w:val="24"/>
        </w:rPr>
        <w:t>К концу 2025 года ожидается рост средней заработной платы на крупных предприятиях округа до уровня 101 471,0 руб. или на 14,3 %. Стабильно эффективная работа промышленных предприятий округа, составляющих основную долю экономики округа, позволяет делать вывод о сохранении тенденции роста заработной платы в соответствии с инфляционными процессами в экономике. Кроме того, на данный факт влияет запуск новых производств и расширение производственных мощностей по ранее реализованным инвестиционным проектам (ООО «ЗПИ», ООО «Белтелекабель», Производственный кластер Воскресенск «Цементум Центр», ООО «Фильтротекс», ООО «НПО Аста» и др.).</w:t>
      </w:r>
    </w:p>
    <w:p w:rsidR="00E00C6F" w:rsidRPr="00E00C6F" w:rsidRDefault="00E00C6F" w:rsidP="008D15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C6F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</w:t>
      </w:r>
      <w:r w:rsidRPr="00E00C6F">
        <w:rPr>
          <w:rFonts w:ascii="Times New Roman" w:hAnsi="Times New Roman" w:cs="Times New Roman"/>
          <w:sz w:val="24"/>
          <w:szCs w:val="24"/>
        </w:rPr>
        <w:t>По прогнозу к 2028 году среднемесячная заработная плата работников по полному кругу организаций составит 121 897 рублей, по крупным и средним организациям – 134 837 рублей. Рост показателя спрогнозирован с учетом прогнозной индексации уровня заработной платы, а также с учетом влияние реализация на территории округа новых</w:t>
      </w:r>
      <w:r w:rsidR="00BB5469">
        <w:rPr>
          <w:rFonts w:ascii="Times New Roman" w:hAnsi="Times New Roman" w:cs="Times New Roman"/>
          <w:sz w:val="24"/>
          <w:szCs w:val="24"/>
        </w:rPr>
        <w:t xml:space="preserve"> инвестиционных проектов - ООО «ССЦ Эко-Технологии»</w:t>
      </w:r>
      <w:r w:rsidRPr="00E00C6F">
        <w:rPr>
          <w:rFonts w:ascii="Times New Roman" w:hAnsi="Times New Roman" w:cs="Times New Roman"/>
          <w:sz w:val="24"/>
          <w:szCs w:val="24"/>
        </w:rPr>
        <w:t xml:space="preserve">, ООО </w:t>
      </w:r>
      <w:r w:rsidR="00BB5469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>ПК Евр</w:t>
      </w:r>
      <w:r w:rsidR="00BB5469">
        <w:rPr>
          <w:rFonts w:ascii="Times New Roman" w:hAnsi="Times New Roman" w:cs="Times New Roman"/>
          <w:sz w:val="24"/>
          <w:szCs w:val="24"/>
        </w:rPr>
        <w:t>а</w:t>
      </w:r>
      <w:r w:rsidRPr="00E00C6F">
        <w:rPr>
          <w:rFonts w:ascii="Times New Roman" w:hAnsi="Times New Roman" w:cs="Times New Roman"/>
          <w:sz w:val="24"/>
          <w:szCs w:val="24"/>
        </w:rPr>
        <w:t>тон</w:t>
      </w:r>
      <w:r w:rsidR="00BB5469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 xml:space="preserve">, ООО </w:t>
      </w:r>
      <w:r w:rsidR="00BB5469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>Северный океан</w:t>
      </w:r>
      <w:r w:rsidR="00BB5469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E00C6F" w:rsidRPr="00E00C6F" w:rsidRDefault="00E00C6F" w:rsidP="008D1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C6F">
        <w:rPr>
          <w:rFonts w:ascii="Times New Roman" w:hAnsi="Times New Roman" w:cs="Times New Roman"/>
          <w:sz w:val="24"/>
          <w:szCs w:val="24"/>
        </w:rPr>
        <w:t xml:space="preserve">            Среднемесячная заработная плата на предприятиях МСП в 2024 году увеличилась на 31,7% по сравнению с 2023 годом и составила 57 591,7 руб. руб.  </w:t>
      </w:r>
    </w:p>
    <w:p w:rsidR="005C77D8" w:rsidRDefault="00E00C6F" w:rsidP="005C77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C6F">
        <w:rPr>
          <w:rFonts w:ascii="Times New Roman" w:hAnsi="Times New Roman" w:cs="Times New Roman"/>
          <w:sz w:val="24"/>
          <w:szCs w:val="24"/>
        </w:rPr>
        <w:t xml:space="preserve">В 2025 году ожидается рост среднемесячной заработной платы у субъектов МСП до уровня 66 403,4 руб. при незначительном снижении численности работающих до 6 836 человек. </w:t>
      </w:r>
    </w:p>
    <w:p w:rsidR="00E00C6F" w:rsidRPr="00E00C6F" w:rsidRDefault="00E00C6F" w:rsidP="005C77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C6F">
        <w:rPr>
          <w:rFonts w:ascii="Times New Roman" w:hAnsi="Times New Roman" w:cs="Times New Roman"/>
          <w:sz w:val="24"/>
          <w:szCs w:val="24"/>
        </w:rPr>
        <w:t>Размер среднемесячной заработной платы работников «малых» предприятий в прогнозном периоде также ожидается с ежегодным приростом на уровне 7,3% в 2026 году, 3,2% в 2027 году и к 2028 году должен составить 76 746 рублей.</w:t>
      </w:r>
    </w:p>
    <w:p w:rsidR="00E00C6F" w:rsidRPr="00E00C6F" w:rsidRDefault="00E00C6F" w:rsidP="008D1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C6F">
        <w:rPr>
          <w:rFonts w:ascii="Times New Roman" w:hAnsi="Times New Roman" w:cs="Times New Roman"/>
          <w:sz w:val="24"/>
          <w:szCs w:val="24"/>
        </w:rPr>
        <w:t xml:space="preserve">           В 2024 году среднесписочная численность работников по полному кругу организаций увеличилась и составила 30 469 человек. Кроме того, на территории городского округа Воскресенск было создано 1 920 новых рабочих мест. Новые рабочие места создавались такими предприятиями </w:t>
      </w:r>
      <w:r w:rsidR="00BB5469">
        <w:rPr>
          <w:rFonts w:ascii="Times New Roman" w:hAnsi="Times New Roman" w:cs="Times New Roman"/>
          <w:sz w:val="24"/>
          <w:szCs w:val="24"/>
        </w:rPr>
        <w:t>как: ООО ТК «Подмосковье», ООО «</w:t>
      </w:r>
      <w:r w:rsidRPr="00E00C6F">
        <w:rPr>
          <w:rFonts w:ascii="Times New Roman" w:hAnsi="Times New Roman" w:cs="Times New Roman"/>
          <w:sz w:val="24"/>
          <w:szCs w:val="24"/>
        </w:rPr>
        <w:t>Эрисманн</w:t>
      </w:r>
      <w:r w:rsidR="00BB5469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>, ФЛ Воскресе</w:t>
      </w:r>
      <w:r w:rsidR="00BB5469">
        <w:rPr>
          <w:rFonts w:ascii="Times New Roman" w:hAnsi="Times New Roman" w:cs="Times New Roman"/>
          <w:sz w:val="24"/>
          <w:szCs w:val="24"/>
        </w:rPr>
        <w:t>нский машиностроительный завод «</w:t>
      </w:r>
      <w:r w:rsidRPr="00E00C6F">
        <w:rPr>
          <w:rFonts w:ascii="Times New Roman" w:hAnsi="Times New Roman" w:cs="Times New Roman"/>
          <w:sz w:val="24"/>
          <w:szCs w:val="24"/>
        </w:rPr>
        <w:t>Салют</w:t>
      </w:r>
      <w:r w:rsidR="00BB5469">
        <w:rPr>
          <w:rFonts w:ascii="Times New Roman" w:hAnsi="Times New Roman" w:cs="Times New Roman"/>
          <w:sz w:val="24"/>
          <w:szCs w:val="24"/>
        </w:rPr>
        <w:t>» АО «</w:t>
      </w:r>
      <w:r w:rsidRPr="00E00C6F">
        <w:rPr>
          <w:rFonts w:ascii="Times New Roman" w:hAnsi="Times New Roman" w:cs="Times New Roman"/>
          <w:sz w:val="24"/>
          <w:szCs w:val="24"/>
        </w:rPr>
        <w:t>ОДК</w:t>
      </w:r>
      <w:r w:rsidR="00BB5469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 xml:space="preserve">, ООО </w:t>
      </w:r>
      <w:r w:rsidR="00BB5469">
        <w:rPr>
          <w:rFonts w:ascii="Times New Roman" w:hAnsi="Times New Roman" w:cs="Times New Roman"/>
          <w:sz w:val="24"/>
          <w:szCs w:val="24"/>
        </w:rPr>
        <w:t>«Завод «</w:t>
      </w:r>
      <w:r w:rsidRPr="00E00C6F">
        <w:rPr>
          <w:rFonts w:ascii="Times New Roman" w:hAnsi="Times New Roman" w:cs="Times New Roman"/>
          <w:sz w:val="24"/>
          <w:szCs w:val="24"/>
        </w:rPr>
        <w:t>Люксард</w:t>
      </w:r>
      <w:r w:rsidR="00BB5469">
        <w:rPr>
          <w:rFonts w:ascii="Times New Roman" w:hAnsi="Times New Roman" w:cs="Times New Roman"/>
          <w:sz w:val="24"/>
          <w:szCs w:val="24"/>
        </w:rPr>
        <w:t>», ООО «</w:t>
      </w:r>
      <w:r w:rsidRPr="00E00C6F">
        <w:rPr>
          <w:rFonts w:ascii="Times New Roman" w:hAnsi="Times New Roman" w:cs="Times New Roman"/>
          <w:sz w:val="24"/>
          <w:szCs w:val="24"/>
        </w:rPr>
        <w:t>Белтелекабель</w:t>
      </w:r>
      <w:r w:rsidR="00BB5469">
        <w:rPr>
          <w:rFonts w:ascii="Times New Roman" w:hAnsi="Times New Roman" w:cs="Times New Roman"/>
          <w:sz w:val="24"/>
          <w:szCs w:val="24"/>
        </w:rPr>
        <w:t>», ООО «</w:t>
      </w:r>
      <w:r w:rsidRPr="00E00C6F">
        <w:rPr>
          <w:rFonts w:ascii="Times New Roman" w:hAnsi="Times New Roman" w:cs="Times New Roman"/>
          <w:sz w:val="24"/>
          <w:szCs w:val="24"/>
        </w:rPr>
        <w:t>Завод Полимерной Изоляции</w:t>
      </w:r>
      <w:r w:rsidR="00BB5469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 xml:space="preserve">, ООО </w:t>
      </w:r>
      <w:r w:rsidR="00BB5469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>КГП</w:t>
      </w:r>
      <w:r w:rsidR="00BB5469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 xml:space="preserve">, ООО </w:t>
      </w:r>
      <w:r w:rsidR="00BB5469">
        <w:rPr>
          <w:rFonts w:ascii="Times New Roman" w:hAnsi="Times New Roman" w:cs="Times New Roman"/>
          <w:sz w:val="24"/>
          <w:szCs w:val="24"/>
        </w:rPr>
        <w:t>«Стимул Стафф», АО «</w:t>
      </w:r>
      <w:r w:rsidRPr="00E00C6F">
        <w:rPr>
          <w:rFonts w:ascii="Times New Roman" w:hAnsi="Times New Roman" w:cs="Times New Roman"/>
          <w:sz w:val="24"/>
          <w:szCs w:val="24"/>
        </w:rPr>
        <w:t>Тандер</w:t>
      </w:r>
      <w:r w:rsidR="00BB5469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 xml:space="preserve">, ООО </w:t>
      </w:r>
      <w:r w:rsidR="00BB5469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>Фильтротекс</w:t>
      </w:r>
      <w:r w:rsidR="00BB5469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 xml:space="preserve">, ООО </w:t>
      </w:r>
      <w:r w:rsidR="00BB5469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 xml:space="preserve">Технопарк </w:t>
      </w:r>
      <w:r w:rsidR="00BB5469">
        <w:rPr>
          <w:rFonts w:ascii="Times New Roman" w:hAnsi="Times New Roman" w:cs="Times New Roman"/>
          <w:sz w:val="24"/>
          <w:szCs w:val="24"/>
        </w:rPr>
        <w:t>«</w:t>
      </w:r>
      <w:r w:rsidRPr="00E00C6F">
        <w:rPr>
          <w:rFonts w:ascii="Times New Roman" w:hAnsi="Times New Roman" w:cs="Times New Roman"/>
          <w:sz w:val="24"/>
          <w:szCs w:val="24"/>
        </w:rPr>
        <w:t>Партнер</w:t>
      </w:r>
      <w:r w:rsidR="00BB5469">
        <w:rPr>
          <w:rFonts w:ascii="Times New Roman" w:hAnsi="Times New Roman" w:cs="Times New Roman"/>
          <w:sz w:val="24"/>
          <w:szCs w:val="24"/>
        </w:rPr>
        <w:t>»</w:t>
      </w:r>
      <w:r w:rsidRPr="00E00C6F">
        <w:rPr>
          <w:rFonts w:ascii="Times New Roman" w:hAnsi="Times New Roman" w:cs="Times New Roman"/>
          <w:sz w:val="24"/>
          <w:szCs w:val="24"/>
        </w:rPr>
        <w:t>.</w:t>
      </w:r>
    </w:p>
    <w:p w:rsidR="00E00C6F" w:rsidRPr="00E00C6F" w:rsidRDefault="00E00C6F" w:rsidP="008D1597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E00C6F">
        <w:rPr>
          <w:rFonts w:ascii="Times New Roman" w:hAnsi="Times New Roman" w:cs="Times New Roman"/>
          <w:sz w:val="24"/>
          <w:szCs w:val="24"/>
        </w:rPr>
        <w:t xml:space="preserve">           В</w:t>
      </w:r>
      <w:r w:rsidRPr="00E00C6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E00C6F">
        <w:rPr>
          <w:rFonts w:ascii="Times New Roman" w:eastAsia="Calibri" w:hAnsi="Times New Roman" w:cs="Times New Roman"/>
          <w:sz w:val="24"/>
          <w:szCs w:val="24"/>
        </w:rPr>
        <w:t>оценочном и прогнозном периоде ожидается рост показателя, в том числе за счет создания новых рабочих мест</w:t>
      </w:r>
      <w:r w:rsidR="008D1597">
        <w:rPr>
          <w:rFonts w:ascii="Times New Roman" w:eastAsia="Calibri" w:hAnsi="Times New Roman" w:cs="Times New Roman"/>
          <w:sz w:val="24"/>
          <w:szCs w:val="24"/>
        </w:rPr>
        <w:t>,</w:t>
      </w:r>
      <w:r w:rsidRPr="00E00C6F">
        <w:rPr>
          <w:rFonts w:ascii="Times New Roman" w:eastAsia="Calibri" w:hAnsi="Times New Roman" w:cs="Times New Roman"/>
          <w:sz w:val="24"/>
          <w:szCs w:val="24"/>
        </w:rPr>
        <w:t xml:space="preserve"> на следующих предприятиях: ООО </w:t>
      </w:r>
      <w:r w:rsidR="00BB5469">
        <w:rPr>
          <w:rFonts w:ascii="Times New Roman" w:eastAsia="Calibri" w:hAnsi="Times New Roman" w:cs="Times New Roman"/>
          <w:sz w:val="24"/>
          <w:szCs w:val="24"/>
        </w:rPr>
        <w:t>«Северный Океан»</w:t>
      </w:r>
      <w:r w:rsidRPr="00E00C6F">
        <w:rPr>
          <w:rFonts w:ascii="Times New Roman" w:eastAsia="Calibri" w:hAnsi="Times New Roman" w:cs="Times New Roman"/>
          <w:sz w:val="24"/>
          <w:szCs w:val="24"/>
        </w:rPr>
        <w:t xml:space="preserve">, ООО </w:t>
      </w:r>
      <w:r w:rsidR="00BB5469">
        <w:rPr>
          <w:rFonts w:ascii="Times New Roman" w:eastAsia="Calibri" w:hAnsi="Times New Roman" w:cs="Times New Roman"/>
          <w:sz w:val="24"/>
          <w:szCs w:val="24"/>
        </w:rPr>
        <w:t>«</w:t>
      </w:r>
      <w:r w:rsidRPr="00E00C6F">
        <w:rPr>
          <w:rFonts w:ascii="Times New Roman" w:eastAsia="Calibri" w:hAnsi="Times New Roman" w:cs="Times New Roman"/>
          <w:sz w:val="24"/>
          <w:szCs w:val="24"/>
        </w:rPr>
        <w:t>НПО Аста</w:t>
      </w:r>
      <w:r w:rsidR="00BB5469">
        <w:rPr>
          <w:rFonts w:ascii="Times New Roman" w:eastAsia="Calibri" w:hAnsi="Times New Roman" w:cs="Times New Roman"/>
          <w:sz w:val="24"/>
          <w:szCs w:val="24"/>
        </w:rPr>
        <w:t>», ООО «ССЦ Эко-Технологии»</w:t>
      </w:r>
      <w:r w:rsidRPr="00E00C6F">
        <w:rPr>
          <w:rFonts w:ascii="Times New Roman" w:eastAsia="Calibri" w:hAnsi="Times New Roman" w:cs="Times New Roman"/>
          <w:sz w:val="24"/>
          <w:szCs w:val="24"/>
        </w:rPr>
        <w:t xml:space="preserve">, ОП ООО ГК </w:t>
      </w:r>
      <w:r w:rsidR="00BB5469">
        <w:rPr>
          <w:rFonts w:ascii="Times New Roman" w:eastAsia="Calibri" w:hAnsi="Times New Roman" w:cs="Times New Roman"/>
          <w:sz w:val="24"/>
          <w:szCs w:val="24"/>
        </w:rPr>
        <w:t>«</w:t>
      </w:r>
      <w:r w:rsidRPr="00E00C6F">
        <w:rPr>
          <w:rFonts w:ascii="Times New Roman" w:eastAsia="Calibri" w:hAnsi="Times New Roman" w:cs="Times New Roman"/>
          <w:sz w:val="24"/>
          <w:szCs w:val="24"/>
        </w:rPr>
        <w:t>Эс-Ти-Ай</w:t>
      </w:r>
      <w:r w:rsidR="00BB5469">
        <w:rPr>
          <w:rFonts w:ascii="Times New Roman" w:eastAsia="Calibri" w:hAnsi="Times New Roman" w:cs="Times New Roman"/>
          <w:sz w:val="24"/>
          <w:szCs w:val="24"/>
        </w:rPr>
        <w:t>»</w:t>
      </w:r>
      <w:r w:rsidRPr="00E00C6F">
        <w:rPr>
          <w:rFonts w:ascii="Times New Roman" w:eastAsia="Calibri" w:hAnsi="Times New Roman" w:cs="Times New Roman"/>
          <w:sz w:val="24"/>
          <w:szCs w:val="24"/>
        </w:rPr>
        <w:t xml:space="preserve">, ООО «ИПК «Красная горка» и др. Ежегодный темп роста среднесписочной численности работников планируется в пределах 0,6% -1,5%. </w:t>
      </w:r>
    </w:p>
    <w:p w:rsidR="00E00C6F" w:rsidRDefault="00E00C6F" w:rsidP="008D1597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0C6F">
        <w:rPr>
          <w:rFonts w:ascii="Times New Roman" w:hAnsi="Times New Roman" w:cs="Times New Roman"/>
          <w:sz w:val="24"/>
          <w:szCs w:val="24"/>
        </w:rPr>
        <w:t>Численность официально зарегистрированных безработных по состоянию на конец 2024 года по сравнению с 2023 годом уменьшилась на 127 человек и составила 114 человек.  Создание новых производств и увеличение количества рабочих мест, а также мероприятия государственной программы по содействию занятости населения будут способствовать снижению значения показателя в 2025 году до 103 человек, а в прогнозном периоде -  до 90 человек</w:t>
      </w:r>
      <w:r w:rsidRPr="00E00C6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D1597" w:rsidRPr="00E00C6F" w:rsidRDefault="008D1597" w:rsidP="008D1597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00C6F" w:rsidRPr="00E00C6F" w:rsidRDefault="00E00C6F" w:rsidP="00E00C6F">
      <w:pPr>
        <w:ind w:firstLine="8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C6F">
        <w:rPr>
          <w:rFonts w:ascii="Times New Roman" w:hAnsi="Times New Roman" w:cs="Times New Roman"/>
          <w:b/>
          <w:sz w:val="24"/>
          <w:szCs w:val="24"/>
        </w:rPr>
        <w:t>Раздел 1</w:t>
      </w:r>
      <w:r w:rsidR="007E1444">
        <w:rPr>
          <w:rFonts w:ascii="Times New Roman" w:hAnsi="Times New Roman" w:cs="Times New Roman"/>
          <w:b/>
          <w:sz w:val="24"/>
          <w:szCs w:val="24"/>
        </w:rPr>
        <w:t>3</w:t>
      </w:r>
      <w:r w:rsidRPr="00E00C6F">
        <w:rPr>
          <w:rFonts w:ascii="Times New Roman" w:hAnsi="Times New Roman" w:cs="Times New Roman"/>
          <w:b/>
          <w:sz w:val="24"/>
          <w:szCs w:val="24"/>
        </w:rPr>
        <w:t>. Торговля и услуги</w:t>
      </w:r>
    </w:p>
    <w:p w:rsidR="00E00C6F" w:rsidRPr="00E00C6F" w:rsidRDefault="00E00C6F" w:rsidP="008D15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0C6F">
        <w:rPr>
          <w:rFonts w:ascii="Times New Roman" w:hAnsi="Times New Roman" w:cs="Times New Roman"/>
          <w:sz w:val="24"/>
          <w:szCs w:val="24"/>
        </w:rPr>
        <w:t xml:space="preserve">Оборот розничной торговли в организациях городского округа в отчетном 2024 году увеличился на 23,7%, в том числе за счет индекса физического объёма на 15,8 %, за счет индекса-дефлятора цен - на 6,8 % и составил 33 304,7 млн. руб. Рост показателя в отчетном периоде обеспечивался развитием торговых сетей и их товарного ассортимента, увеличением потребительского спроса, развитием импортозамещения. </w:t>
      </w:r>
    </w:p>
    <w:p w:rsidR="00E00C6F" w:rsidRPr="00E00C6F" w:rsidRDefault="00E00C6F" w:rsidP="008D15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0C6F">
        <w:rPr>
          <w:rFonts w:ascii="Times New Roman" w:hAnsi="Times New Roman" w:cs="Times New Roman"/>
          <w:sz w:val="24"/>
          <w:szCs w:val="24"/>
        </w:rPr>
        <w:t xml:space="preserve">По итогам 2025 года показатель оценивается с положительной динамикой, на что существенное влияние оказывает инфляционная </w:t>
      </w:r>
      <w:r w:rsidR="008D1597">
        <w:rPr>
          <w:rFonts w:ascii="Times New Roman" w:hAnsi="Times New Roman" w:cs="Times New Roman"/>
          <w:sz w:val="24"/>
          <w:szCs w:val="24"/>
        </w:rPr>
        <w:t>составляющая, развитие интернет-</w:t>
      </w:r>
      <w:r w:rsidRPr="00E00C6F">
        <w:rPr>
          <w:rFonts w:ascii="Times New Roman" w:hAnsi="Times New Roman" w:cs="Times New Roman"/>
          <w:sz w:val="24"/>
          <w:szCs w:val="24"/>
        </w:rPr>
        <w:t>торговли, развитие и расширение торговых сетей федерального значения. Значение показателя составит 38 766,7 млн. рублей.</w:t>
      </w:r>
    </w:p>
    <w:p w:rsidR="00AB6086" w:rsidRDefault="00E00C6F" w:rsidP="00A0122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C6F">
        <w:rPr>
          <w:rFonts w:ascii="Times New Roman" w:hAnsi="Times New Roman" w:cs="Times New Roman"/>
          <w:sz w:val="24"/>
          <w:szCs w:val="24"/>
        </w:rPr>
        <w:t>Увеличение оборота розничной торговли в прогнозном периоде 2026-2028 годов продолжится за счет стабилизации экономической ситуации в стране, сохранения платежеспособности населения и потребительского спроса, ежегодного (хоть и незначительного) прироста торговых площадей и развития торговли в электронном формате. К 2028 году значение показателя составит 57 067,4 млн. рублей.</w:t>
      </w:r>
    </w:p>
    <w:sectPr w:rsidR="00AB6086" w:rsidSect="008F7CF0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743A3"/>
    <w:multiLevelType w:val="hybridMultilevel"/>
    <w:tmpl w:val="06BCB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B81"/>
    <w:multiLevelType w:val="hybridMultilevel"/>
    <w:tmpl w:val="0EF6737C"/>
    <w:lvl w:ilvl="0" w:tplc="3544F7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997236"/>
    <w:multiLevelType w:val="hybridMultilevel"/>
    <w:tmpl w:val="F4F86AD0"/>
    <w:lvl w:ilvl="0" w:tplc="31FE3B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F3788A"/>
    <w:multiLevelType w:val="hybridMultilevel"/>
    <w:tmpl w:val="3DECF9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B467B70"/>
    <w:multiLevelType w:val="hybridMultilevel"/>
    <w:tmpl w:val="3280AA5C"/>
    <w:lvl w:ilvl="0" w:tplc="73528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A92A47"/>
    <w:multiLevelType w:val="hybridMultilevel"/>
    <w:tmpl w:val="8C7E4D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3ADD"/>
    <w:rsid w:val="0000513D"/>
    <w:rsid w:val="00006E9C"/>
    <w:rsid w:val="00047473"/>
    <w:rsid w:val="00065BDD"/>
    <w:rsid w:val="00096009"/>
    <w:rsid w:val="000A0FFB"/>
    <w:rsid w:val="000C4B9F"/>
    <w:rsid w:val="000C71C2"/>
    <w:rsid w:val="000D1724"/>
    <w:rsid w:val="00126402"/>
    <w:rsid w:val="00145382"/>
    <w:rsid w:val="00187FC6"/>
    <w:rsid w:val="001C0847"/>
    <w:rsid w:val="00203326"/>
    <w:rsid w:val="00212C83"/>
    <w:rsid w:val="002675FB"/>
    <w:rsid w:val="002E42BE"/>
    <w:rsid w:val="0036018B"/>
    <w:rsid w:val="00387A90"/>
    <w:rsid w:val="003F377C"/>
    <w:rsid w:val="00401906"/>
    <w:rsid w:val="00424DFB"/>
    <w:rsid w:val="004337C6"/>
    <w:rsid w:val="0048104D"/>
    <w:rsid w:val="00481D1C"/>
    <w:rsid w:val="00503D1D"/>
    <w:rsid w:val="005213F8"/>
    <w:rsid w:val="005259F9"/>
    <w:rsid w:val="00547A92"/>
    <w:rsid w:val="00595CFC"/>
    <w:rsid w:val="005A4445"/>
    <w:rsid w:val="005C77D8"/>
    <w:rsid w:val="005D38C0"/>
    <w:rsid w:val="005E094A"/>
    <w:rsid w:val="005F7FF1"/>
    <w:rsid w:val="006D3844"/>
    <w:rsid w:val="00713880"/>
    <w:rsid w:val="00725EB9"/>
    <w:rsid w:val="007368A9"/>
    <w:rsid w:val="00746562"/>
    <w:rsid w:val="0075263C"/>
    <w:rsid w:val="007E1444"/>
    <w:rsid w:val="00816F79"/>
    <w:rsid w:val="00823CF6"/>
    <w:rsid w:val="008603FC"/>
    <w:rsid w:val="00880362"/>
    <w:rsid w:val="008D1597"/>
    <w:rsid w:val="008E0389"/>
    <w:rsid w:val="008F07D7"/>
    <w:rsid w:val="008F7CF0"/>
    <w:rsid w:val="00923CA5"/>
    <w:rsid w:val="00930476"/>
    <w:rsid w:val="00952403"/>
    <w:rsid w:val="009529A1"/>
    <w:rsid w:val="00957D0A"/>
    <w:rsid w:val="0099413A"/>
    <w:rsid w:val="009A17A6"/>
    <w:rsid w:val="009A2152"/>
    <w:rsid w:val="009C43BA"/>
    <w:rsid w:val="00A01228"/>
    <w:rsid w:val="00A375B4"/>
    <w:rsid w:val="00A70477"/>
    <w:rsid w:val="00AB6086"/>
    <w:rsid w:val="00AD34B9"/>
    <w:rsid w:val="00AF536E"/>
    <w:rsid w:val="00B00DB4"/>
    <w:rsid w:val="00B137A5"/>
    <w:rsid w:val="00B13B7E"/>
    <w:rsid w:val="00B23488"/>
    <w:rsid w:val="00B50614"/>
    <w:rsid w:val="00B72AA2"/>
    <w:rsid w:val="00B96E4E"/>
    <w:rsid w:val="00BB5469"/>
    <w:rsid w:val="00BE1904"/>
    <w:rsid w:val="00C111DC"/>
    <w:rsid w:val="00C406D5"/>
    <w:rsid w:val="00C618E4"/>
    <w:rsid w:val="00C64258"/>
    <w:rsid w:val="00CA43E6"/>
    <w:rsid w:val="00CB118C"/>
    <w:rsid w:val="00CC6BF1"/>
    <w:rsid w:val="00CE2CAC"/>
    <w:rsid w:val="00CE6BC0"/>
    <w:rsid w:val="00D0425F"/>
    <w:rsid w:val="00D3425A"/>
    <w:rsid w:val="00D467DA"/>
    <w:rsid w:val="00D50B4F"/>
    <w:rsid w:val="00D66565"/>
    <w:rsid w:val="00DB5B95"/>
    <w:rsid w:val="00DD357C"/>
    <w:rsid w:val="00E00C6F"/>
    <w:rsid w:val="00E47D5F"/>
    <w:rsid w:val="00E6304E"/>
    <w:rsid w:val="00E813AE"/>
    <w:rsid w:val="00F51C3D"/>
    <w:rsid w:val="00F65AA5"/>
    <w:rsid w:val="00F66DB5"/>
    <w:rsid w:val="00F74FD8"/>
    <w:rsid w:val="00F803A2"/>
    <w:rsid w:val="00F82E97"/>
    <w:rsid w:val="00F937AC"/>
    <w:rsid w:val="00FA3619"/>
    <w:rsid w:val="00FA5589"/>
    <w:rsid w:val="00FB111C"/>
    <w:rsid w:val="00FB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D0077-0396-42D9-BDD2-64BF3BB8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99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99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5B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453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1453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453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00C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00C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E00C6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00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E00C6F"/>
  </w:style>
  <w:style w:type="paragraph" w:styleId="ab">
    <w:name w:val="List Paragraph"/>
    <w:basedOn w:val="a"/>
    <w:qFormat/>
    <w:rsid w:val="00E00C6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E0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00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1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1480E5D259FFA41909A08C146223570B91B82E7F8375E351DEAF7CB8CF3DF9749947D28993E00CF9013141377EBF3169984B374A94A4280x3uC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3520</Words>
  <Characters>20066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Силютина Марина Игоревна</dc:creator>
  <cp:lastModifiedBy>Дегтева Анна Владимировна</cp:lastModifiedBy>
  <cp:revision>12</cp:revision>
  <cp:lastPrinted>2025-10-17T06:31:00Z</cp:lastPrinted>
  <dcterms:created xsi:type="dcterms:W3CDTF">2025-10-17T06:21:00Z</dcterms:created>
  <dcterms:modified xsi:type="dcterms:W3CDTF">2025-10-17T12:04:00Z</dcterms:modified>
</cp:coreProperties>
</file>