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2D17F2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866B61">
        <w:rPr>
          <w:rFonts w:ascii="Times New Roman" w:hAnsi="Times New Roman" w:cs="Times New Roman"/>
          <w:b/>
          <w:sz w:val="24"/>
        </w:rPr>
        <w:t>, от 04.03.2025 № 529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3A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объемов </w:t>
      </w:r>
      <w:r w:rsidR="002D17F2">
        <w:rPr>
          <w:rFonts w:ascii="Times New Roman" w:hAnsi="Times New Roman" w:cs="Times New Roman"/>
          <w:sz w:val="24"/>
        </w:rPr>
        <w:t>финансирования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3A76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3A76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3A76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3A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«Развитие и функционирование дорожно-</w:t>
      </w:r>
      <w:r w:rsidR="00DE2447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866B61">
        <w:rPr>
          <w:rFonts w:ascii="Times New Roman" w:hAnsi="Times New Roman" w:cs="Times New Roman"/>
          <w:sz w:val="24"/>
        </w:rPr>
        <w:t>,        от 04.03.2025 № 529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2D17F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е изменени</w:t>
      </w:r>
      <w:r w:rsidR="002D17F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C23D3C" w:rsidRDefault="00BF7768" w:rsidP="003A7656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C23D3C" w:rsidRPr="00C23D3C">
        <w:rPr>
          <w:rFonts w:ascii="Times New Roman" w:hAnsi="Times New Roman" w:cs="Times New Roman"/>
          <w:sz w:val="24"/>
        </w:rPr>
        <w:t>Раздел 1 «Паспорт муниципальной программы «Развитие и функционирование                 дорожно-транспортного комплекса» изложить в редакции согласно приложению 1 к настоящему постановлению;</w:t>
      </w:r>
    </w:p>
    <w:p w:rsidR="003A7656" w:rsidRDefault="00122F85" w:rsidP="003A7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F3D">
        <w:rPr>
          <w:rFonts w:ascii="Times New Roman" w:hAnsi="Times New Roman" w:cs="Times New Roman"/>
          <w:sz w:val="24"/>
        </w:rPr>
        <w:t>1.2.</w:t>
      </w:r>
      <w:r>
        <w:rPr>
          <w:rFonts w:ascii="Times New Roman" w:hAnsi="Times New Roman" w:cs="Times New Roman"/>
          <w:sz w:val="24"/>
        </w:rPr>
        <w:t xml:space="preserve"> </w:t>
      </w:r>
      <w:r w:rsidR="003A7656">
        <w:rPr>
          <w:rFonts w:ascii="Times New Roman" w:hAnsi="Times New Roman" w:cs="Times New Roman"/>
          <w:sz w:val="24"/>
        </w:rPr>
        <w:t>Раздел 6 «</w:t>
      </w:r>
      <w:r w:rsidR="003A7656" w:rsidRPr="003A7656">
        <w:rPr>
          <w:rFonts w:ascii="Times New Roman" w:hAnsi="Times New Roman" w:cs="Times New Roman"/>
          <w:sz w:val="24"/>
        </w:rPr>
        <w:t>Целевые показатели реализации муниципальной программы «Развитие и функционирование дорожно-транспортного комплекса»</w:t>
      </w:r>
      <w:r w:rsidR="003A7656" w:rsidRPr="003A7656">
        <w:t xml:space="preserve"> </w:t>
      </w:r>
      <w:r w:rsidR="003A7656" w:rsidRPr="003A7656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3A7656">
        <w:rPr>
          <w:rFonts w:ascii="Times New Roman" w:hAnsi="Times New Roman" w:cs="Times New Roman"/>
          <w:sz w:val="24"/>
        </w:rPr>
        <w:t>2</w:t>
      </w:r>
      <w:r w:rsidR="003A7656" w:rsidRPr="003A7656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3A7656" w:rsidRDefault="003A7656" w:rsidP="003A765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1.3. Подраздел 12.1 «</w:t>
      </w:r>
      <w:r w:rsidRPr="003A7656">
        <w:rPr>
          <w:rFonts w:ascii="Times New Roman" w:hAnsi="Times New Roman" w:cs="Times New Roman"/>
          <w:sz w:val="24"/>
        </w:rPr>
        <w:t xml:space="preserve">Перечень мероприятий подпрограммы 3 «Безопасность дорожного </w:t>
      </w:r>
      <w:r w:rsidR="00866B61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Pr="003A7656">
        <w:rPr>
          <w:rFonts w:ascii="Times New Roman" w:hAnsi="Times New Roman" w:cs="Times New Roman"/>
          <w:sz w:val="24"/>
        </w:rPr>
        <w:t>движения»</w:t>
      </w:r>
      <w:r>
        <w:rPr>
          <w:rFonts w:ascii="Times New Roman" w:hAnsi="Times New Roman" w:cs="Times New Roman"/>
          <w:sz w:val="24"/>
        </w:rPr>
        <w:t xml:space="preserve"> раздела 12 «</w:t>
      </w:r>
      <w:r w:rsidRPr="003A7656">
        <w:rPr>
          <w:rFonts w:ascii="Times New Roman" w:hAnsi="Times New Roman" w:cs="Times New Roman"/>
          <w:sz w:val="24"/>
        </w:rPr>
        <w:t>Подпрограмма 3 «Безопасность дорожного движения»</w:t>
      </w:r>
      <w:r w:rsidRPr="003A7656">
        <w:t xml:space="preserve"> </w:t>
      </w:r>
      <w:r w:rsidRPr="003A7656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3A7656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3A7656" w:rsidRDefault="003A7656" w:rsidP="003A765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A7656" w:rsidRDefault="003A7656" w:rsidP="003A765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A7656" w:rsidRDefault="00494FC7" w:rsidP="003A7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3A7656" w:rsidP="003A765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F7768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 w:rsidR="00BF7768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E22B1">
        <w:rPr>
          <w:rFonts w:ascii="Times New Roman" w:hAnsi="Times New Roman" w:cs="Times New Roman"/>
          <w:sz w:val="24"/>
        </w:rPr>
        <w:t>Пирогова А.В.</w:t>
      </w:r>
    </w:p>
    <w:p w:rsidR="00E50F6E" w:rsidRDefault="00E50F6E" w:rsidP="003A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3A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3A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F7768" w:rsidRDefault="001D6C92" w:rsidP="003A7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2248ED" w:rsidRDefault="002248ED" w:rsidP="003A7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3A7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3A7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3A7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248ED" w:rsidSect="002248ED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AD2FF5" w:rsidRDefault="002248ED" w:rsidP="002248ED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hAnsi="Times New Roman" w:cs="Times New Roman"/>
          <w:sz w:val="24"/>
        </w:rPr>
        <w:t>Развитие и функционирование дорожно-транспортного комплекса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304"/>
        <w:gridCol w:w="1418"/>
        <w:gridCol w:w="1275"/>
        <w:gridCol w:w="1276"/>
        <w:gridCol w:w="1418"/>
        <w:gridCol w:w="1559"/>
        <w:gridCol w:w="1276"/>
      </w:tblGrid>
      <w:tr w:rsidR="00883636" w:rsidRPr="002F3A7B" w:rsidTr="00883636">
        <w:trPr>
          <w:trHeight w:val="238"/>
        </w:trPr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7"/>
          </w:tcPr>
          <w:p w:rsidR="00883636" w:rsidRPr="002F3A7B" w:rsidRDefault="00883636" w:rsidP="00CE5374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 Пирогов А.В.</w:t>
            </w:r>
          </w:p>
        </w:tc>
      </w:tr>
      <w:tr w:rsidR="00883636" w:rsidRPr="002F3A7B" w:rsidTr="00883636"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7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 (далее УРИиЭ)</w:t>
            </w:r>
          </w:p>
        </w:tc>
      </w:tr>
      <w:tr w:rsidR="00883636" w:rsidRPr="002F3A7B" w:rsidTr="00883636"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883636" w:rsidRPr="001A2EDE" w:rsidRDefault="00883636" w:rsidP="00CE537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2EDE">
              <w:rPr>
                <w:rFonts w:ascii="Times New Roman" w:hAnsi="Times New Roman" w:cs="Times New Roman"/>
                <w:szCs w:val="24"/>
              </w:rPr>
              <w:t xml:space="preserve">Развитие современной и эффективной транспортной системы на территории городского округа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</w:t>
            </w:r>
            <w:r>
              <w:rPr>
                <w:rFonts w:ascii="Times New Roman" w:hAnsi="Times New Roman" w:cs="Times New Roman"/>
                <w:szCs w:val="24"/>
              </w:rPr>
              <w:t xml:space="preserve">Воскресенск </w:t>
            </w:r>
            <w:r w:rsidRPr="001A2EDE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Cs w:val="24"/>
              </w:rPr>
              <w:t>, повышение уровня безопасности дорожно-транспортного комплекса, снижение смертности от дорожно-транспортных происшествий</w:t>
            </w:r>
            <w:r w:rsidRPr="001A2ED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83636" w:rsidRPr="002F3A7B" w:rsidTr="00883636"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7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Pr="002B56A1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Пассажирский транспорт общего пользования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7"/>
          </w:tcPr>
          <w:p w:rsidR="00883636" w:rsidRPr="005D49F3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Pr="002B56A1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Дороги Подмосковья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7"/>
          </w:tcPr>
          <w:p w:rsidR="00883636" w:rsidRPr="005D49F3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Pr="002B56A1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7"/>
          </w:tcPr>
          <w:p w:rsidR="00883636" w:rsidRPr="005D49F3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«Безопасность дорожного движения»</w:t>
            </w:r>
          </w:p>
        </w:tc>
        <w:tc>
          <w:tcPr>
            <w:tcW w:w="9526" w:type="dxa"/>
            <w:gridSpan w:val="7"/>
          </w:tcPr>
          <w:p w:rsidR="00883636" w:rsidRPr="004A260A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57D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rPr>
          <w:trHeight w:val="113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Pr="00D008F0" w:rsidRDefault="00883636" w:rsidP="00CE5374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D46AD6">
              <w:rPr>
                <w:rFonts w:ascii="Times New Roman" w:hAnsi="Times New Roman" w:cs="Times New Roman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883636" w:rsidRPr="002F3A7B" w:rsidTr="00883636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Pr="002B52AE" w:rsidRDefault="00883636" w:rsidP="00CE5374">
            <w:pPr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D46AD6">
              <w:rPr>
                <w:rFonts w:ascii="Times New Roman" w:hAnsi="Times New Roman" w:cs="Times New Roman"/>
              </w:rPr>
              <w:t>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883636" w:rsidRPr="002F3A7B" w:rsidTr="00883636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Pr="00D008F0" w:rsidRDefault="00883636" w:rsidP="00CE5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D46AD6">
              <w:rPr>
                <w:rFonts w:ascii="Times New Roman" w:hAnsi="Times New Roman" w:cs="Times New Roman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</w:t>
            </w:r>
            <w:r>
              <w:rPr>
                <w:rFonts w:ascii="Times New Roman" w:hAnsi="Times New Roman" w:cs="Times New Roman"/>
              </w:rPr>
              <w:t>,</w:t>
            </w:r>
            <w:r w:rsidRPr="00D46AD6">
              <w:rPr>
                <w:rFonts w:ascii="Times New Roman" w:hAnsi="Times New Roman" w:cs="Times New Roman"/>
              </w:rPr>
              <w:t xml:space="preserve"> и функционирования подведомственных учреждений</w:t>
            </w:r>
          </w:p>
        </w:tc>
      </w:tr>
      <w:tr w:rsidR="00883636" w:rsidRPr="002F3A7B" w:rsidTr="00883636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Default="00883636" w:rsidP="00CE5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Снижение тяжести последствий дорожно-транспортных происшествий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</w:tcBorders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304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2028-2029 годы</w:t>
            </w:r>
          </w:p>
        </w:tc>
      </w:tr>
      <w:tr w:rsidR="00883636" w:rsidRPr="002F3A7B" w:rsidTr="00883636">
        <w:trPr>
          <w:trHeight w:val="423"/>
        </w:trPr>
        <w:tc>
          <w:tcPr>
            <w:tcW w:w="5529" w:type="dxa"/>
            <w:vAlign w:val="center"/>
          </w:tcPr>
          <w:p w:rsidR="00883636" w:rsidRPr="00216EA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A7656" w:rsidRPr="002F3A7B" w:rsidTr="00883636">
        <w:trPr>
          <w:trHeight w:val="423"/>
        </w:trPr>
        <w:tc>
          <w:tcPr>
            <w:tcW w:w="5529" w:type="dxa"/>
            <w:vAlign w:val="center"/>
          </w:tcPr>
          <w:p w:rsidR="003A7656" w:rsidRPr="002F3A7B" w:rsidRDefault="003A7656" w:rsidP="003A765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A7656" w:rsidRPr="002F3A7B" w:rsidRDefault="003A7656" w:rsidP="003A765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155 383,10</w:t>
            </w:r>
          </w:p>
        </w:tc>
        <w:tc>
          <w:tcPr>
            <w:tcW w:w="1418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63 632,00</w:t>
            </w:r>
          </w:p>
        </w:tc>
        <w:tc>
          <w:tcPr>
            <w:tcW w:w="1275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16 094,00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27 278,70</w:t>
            </w:r>
          </w:p>
        </w:tc>
        <w:tc>
          <w:tcPr>
            <w:tcW w:w="1418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24 189,20</w:t>
            </w:r>
          </w:p>
        </w:tc>
        <w:tc>
          <w:tcPr>
            <w:tcW w:w="1559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24 189,20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A7656" w:rsidRPr="002F3A7B" w:rsidTr="00883636">
        <w:trPr>
          <w:trHeight w:val="401"/>
        </w:trPr>
        <w:tc>
          <w:tcPr>
            <w:tcW w:w="5529" w:type="dxa"/>
            <w:vAlign w:val="center"/>
          </w:tcPr>
          <w:p w:rsidR="003A7656" w:rsidRPr="002F3A7B" w:rsidRDefault="003A7656" w:rsidP="003A765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304" w:type="dxa"/>
            <w:vAlign w:val="center"/>
          </w:tcPr>
          <w:p w:rsidR="003A7656" w:rsidRPr="002F3A7B" w:rsidRDefault="003A7656" w:rsidP="003A765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3 432 812,20</w:t>
            </w:r>
          </w:p>
        </w:tc>
        <w:tc>
          <w:tcPr>
            <w:tcW w:w="1418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349 168,83</w:t>
            </w:r>
          </w:p>
        </w:tc>
        <w:tc>
          <w:tcPr>
            <w:tcW w:w="1275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624 648,97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855 396,50</w:t>
            </w:r>
          </w:p>
        </w:tc>
        <w:tc>
          <w:tcPr>
            <w:tcW w:w="1418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783 104,30</w:t>
            </w:r>
          </w:p>
        </w:tc>
        <w:tc>
          <w:tcPr>
            <w:tcW w:w="1559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820 493,60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A7656" w:rsidRPr="002F3A7B" w:rsidTr="00883636">
        <w:trPr>
          <w:trHeight w:val="422"/>
        </w:trPr>
        <w:tc>
          <w:tcPr>
            <w:tcW w:w="5529" w:type="dxa"/>
            <w:vAlign w:val="center"/>
          </w:tcPr>
          <w:p w:rsidR="003A7656" w:rsidRPr="002F3A7B" w:rsidRDefault="003A7656" w:rsidP="003A765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A7656" w:rsidRPr="002F3A7B" w:rsidRDefault="003A7656" w:rsidP="003A765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A7656" w:rsidRPr="002F3A7B" w:rsidTr="00883636">
        <w:trPr>
          <w:trHeight w:val="414"/>
        </w:trPr>
        <w:tc>
          <w:tcPr>
            <w:tcW w:w="5529" w:type="dxa"/>
            <w:vAlign w:val="center"/>
          </w:tcPr>
          <w:p w:rsidR="003A7656" w:rsidRPr="002F3A7B" w:rsidRDefault="003A7656" w:rsidP="003A765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304" w:type="dxa"/>
            <w:vAlign w:val="center"/>
          </w:tcPr>
          <w:p w:rsidR="003A7656" w:rsidRPr="002F3A7B" w:rsidRDefault="003A7656" w:rsidP="003A765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3 588 195,30</w:t>
            </w:r>
          </w:p>
        </w:tc>
        <w:tc>
          <w:tcPr>
            <w:tcW w:w="1418" w:type="dxa"/>
            <w:vAlign w:val="center"/>
          </w:tcPr>
          <w:p w:rsidR="003A7656" w:rsidRPr="002B75B0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412 800,83</w:t>
            </w:r>
          </w:p>
        </w:tc>
        <w:tc>
          <w:tcPr>
            <w:tcW w:w="1275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640 742,97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882 675,20</w:t>
            </w:r>
          </w:p>
        </w:tc>
        <w:tc>
          <w:tcPr>
            <w:tcW w:w="1418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807 293,50</w:t>
            </w:r>
          </w:p>
        </w:tc>
        <w:tc>
          <w:tcPr>
            <w:tcW w:w="1559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844 682,80</w:t>
            </w:r>
          </w:p>
        </w:tc>
        <w:tc>
          <w:tcPr>
            <w:tcW w:w="1276" w:type="dxa"/>
            <w:vAlign w:val="center"/>
          </w:tcPr>
          <w:p w:rsidR="003A7656" w:rsidRPr="002F3A7B" w:rsidRDefault="003A7656" w:rsidP="003A7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248ED" w:rsidRPr="00AD2FF5" w:rsidRDefault="002248ED" w:rsidP="002248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88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A7656" w:rsidRPr="002E7B08" w:rsidRDefault="003A7656" w:rsidP="003A765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lang w:eastAsia="ru-RU"/>
        </w:rPr>
        <w:t>6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оказатели реализации муниципальной программы «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Развитие и функционирование дорожно-транспортного комплекса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</w:p>
    <w:p w:rsidR="003A7656" w:rsidRPr="00C717D0" w:rsidRDefault="003A7656" w:rsidP="003A765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667"/>
      <w:bookmarkEnd w:id="1"/>
    </w:p>
    <w:tbl>
      <w:tblPr>
        <w:tblW w:w="49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3625"/>
        <w:gridCol w:w="1703"/>
        <w:gridCol w:w="991"/>
        <w:gridCol w:w="994"/>
        <w:gridCol w:w="709"/>
        <w:gridCol w:w="709"/>
        <w:gridCol w:w="709"/>
        <w:gridCol w:w="709"/>
        <w:gridCol w:w="709"/>
        <w:gridCol w:w="997"/>
        <w:gridCol w:w="994"/>
        <w:gridCol w:w="1652"/>
      </w:tblGrid>
      <w:tr w:rsidR="003A7656" w:rsidRPr="007606A8" w:rsidTr="00FC21A1"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Единица измерения (по ОКЕИ)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Базовое значение показателя                      </w:t>
            </w:r>
          </w:p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A7656" w:rsidRPr="007606A8" w:rsidTr="00FC21A1">
        <w:trPr>
          <w:trHeight w:val="277"/>
        </w:trPr>
        <w:tc>
          <w:tcPr>
            <w:tcW w:w="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332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2028-2029 годы</w:t>
            </w:r>
          </w:p>
        </w:tc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A7656" w:rsidRPr="007606A8" w:rsidTr="00FC21A1">
        <w:trPr>
          <w:trHeight w:val="151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332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331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3A7656" w:rsidRPr="007606A8" w:rsidTr="00FC21A1">
        <w:trPr>
          <w:trHeight w:val="297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28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цели: п</w:t>
            </w:r>
            <w:r w:rsidRPr="00BF034F">
              <w:rPr>
                <w:rFonts w:ascii="Times New Roman" w:eastAsiaTheme="minorEastAsia" w:hAnsi="Times New Roman" w:cs="Times New Roman"/>
              </w:rPr>
              <w:t>овышение доступности и качества транспортных услуг для населения</w:t>
            </w:r>
          </w:p>
        </w:tc>
      </w:tr>
      <w:tr w:rsidR="003A7656" w:rsidRPr="007606A8" w:rsidTr="00FC21A1">
        <w:trPr>
          <w:trHeight w:val="3675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widowControl w:val="0"/>
              <w:autoSpaceDE w:val="0"/>
              <w:autoSpaceDN w:val="0"/>
              <w:spacing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0"/>
              </w:rPr>
            </w:pPr>
            <w:r w:rsidRPr="00D46AD6">
              <w:rPr>
                <w:rFonts w:ascii="Times New Roman" w:eastAsia="Times New Roman" w:hAnsi="Times New Roman" w:cs="Times New Roman"/>
                <w:szCs w:val="20"/>
              </w:rPr>
              <w:t xml:space="preserve">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области, включенных в Перечень маршрутов регулярных перевозок по регулируемым тарифам, на которых отдельным категориям граждан предоставляются меры социальной поддержки, утверждаемый Правительством Московской области </w:t>
            </w:r>
          </w:p>
        </w:tc>
        <w:tc>
          <w:tcPr>
            <w:tcW w:w="567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line="240" w:lineRule="auto"/>
              <w:ind w:left="-12" w:right="-128" w:firstLine="1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F034F">
              <w:rPr>
                <w:rFonts w:ascii="Times New Roman" w:eastAsia="Times New Roman" w:hAnsi="Times New Roman" w:cs="Times New Roman"/>
                <w:szCs w:val="20"/>
              </w:rPr>
              <w:t>Отраслевой показатель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widowControl w:val="0"/>
              <w:autoSpaceDE w:val="0"/>
              <w:autoSpaceDN w:val="0"/>
              <w:spacing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0"/>
              </w:rPr>
            </w:pPr>
            <w:r w:rsidRPr="00BF034F">
              <w:rPr>
                <w:rFonts w:ascii="Times New Roman" w:eastAsia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332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Default="003A7656" w:rsidP="00FC21A1">
            <w:pPr>
              <w:widowControl w:val="0"/>
              <w:autoSpaceDE w:val="0"/>
              <w:autoSpaceDN w:val="0"/>
              <w:spacing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331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widowControl w:val="0"/>
              <w:autoSpaceDE w:val="0"/>
              <w:autoSpaceDN w:val="0"/>
              <w:spacing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УРИиЭ</w:t>
            </w: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widowControl w:val="0"/>
              <w:autoSpaceDE w:val="0"/>
              <w:autoSpaceDN w:val="0"/>
              <w:spacing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F034F">
              <w:rPr>
                <w:rFonts w:ascii="Times New Roman" w:eastAsia="Times New Roman" w:hAnsi="Times New Roman" w:cs="Times New Roman"/>
                <w:szCs w:val="20"/>
              </w:rPr>
              <w:t>1.02.04</w:t>
            </w:r>
          </w:p>
        </w:tc>
      </w:tr>
      <w:tr w:rsidR="003A7656" w:rsidRPr="007606A8" w:rsidTr="00FC21A1">
        <w:trPr>
          <w:trHeight w:val="343"/>
        </w:trPr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цели: о</w:t>
            </w:r>
            <w:r w:rsidRPr="00BF034F">
              <w:rPr>
                <w:rFonts w:ascii="Times New Roman" w:eastAsiaTheme="minorEastAsia" w:hAnsi="Times New Roman" w:cs="Times New Roman"/>
              </w:rPr>
              <w:t>беспечение нормативного состояния автомобильных дорог местного значения</w:t>
            </w:r>
          </w:p>
        </w:tc>
      </w:tr>
      <w:tr w:rsidR="003A7656" w:rsidRPr="007606A8" w:rsidTr="00FC21A1">
        <w:trPr>
          <w:trHeight w:val="343"/>
        </w:trPr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ind w:left="-12" w:right="-15" w:firstLine="12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BF034F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BF034F" w:rsidRDefault="003A7656" w:rsidP="00FC21A1">
            <w:pPr>
              <w:ind w:right="-1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F034F">
              <w:rPr>
                <w:rFonts w:ascii="Times New Roman" w:eastAsia="Times New Roman" w:hAnsi="Times New Roman" w:cs="Times New Roman"/>
                <w:szCs w:val="20"/>
              </w:rPr>
              <w:t>Региональный пр</w:t>
            </w:r>
            <w:r>
              <w:rPr>
                <w:rFonts w:ascii="Times New Roman" w:eastAsia="Times New Roman" w:hAnsi="Times New Roman" w:cs="Times New Roman"/>
                <w:szCs w:val="20"/>
              </w:rPr>
              <w:t>оект «Региональная и местная до</w:t>
            </w:r>
            <w:r w:rsidRPr="00BF034F">
              <w:rPr>
                <w:rFonts w:ascii="Times New Roman" w:eastAsia="Times New Roman" w:hAnsi="Times New Roman" w:cs="Times New Roman"/>
                <w:szCs w:val="20"/>
              </w:rPr>
              <w:t>рожная сеть»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BF034F" w:rsidRDefault="003A7656" w:rsidP="00FC21A1">
            <w:pPr>
              <w:ind w:left="-12" w:right="-15" w:firstLine="12"/>
              <w:jc w:val="center"/>
              <w:rPr>
                <w:rFonts w:ascii="Times New Roman" w:hAnsi="Times New Roman" w:cs="Times New Roman"/>
                <w:szCs w:val="20"/>
              </w:rPr>
            </w:pPr>
            <w:r w:rsidRPr="00BF034F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ind w:right="-15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ind w:right="-15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BF034F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УРИиЭ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BF034F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F034F">
              <w:rPr>
                <w:rFonts w:ascii="Times New Roman" w:eastAsiaTheme="minorEastAsia" w:hAnsi="Times New Roman" w:cs="Times New Roman"/>
              </w:rPr>
              <w:t>2.0</w:t>
            </w:r>
            <w:r>
              <w:rPr>
                <w:rFonts w:ascii="Times New Roman" w:eastAsiaTheme="minorEastAsia" w:hAnsi="Times New Roman" w:cs="Times New Roman"/>
              </w:rPr>
              <w:t>4.18</w:t>
            </w:r>
          </w:p>
        </w:tc>
      </w:tr>
      <w:tr w:rsidR="003A7656" w:rsidRPr="007606A8" w:rsidTr="00FC21A1">
        <w:trPr>
          <w:trHeight w:val="343"/>
        </w:trPr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48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BF034F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цели</w:t>
            </w:r>
            <w:r w:rsidRPr="00A5057D">
              <w:rPr>
                <w:rFonts w:ascii="Times New Roman" w:hAnsi="Times New Roman" w:cs="Times New Roman"/>
                <w:szCs w:val="20"/>
              </w:rPr>
              <w:t xml:space="preserve">: повышение уровня </w:t>
            </w:r>
            <w:r w:rsidRPr="00BF034F">
              <w:rPr>
                <w:rFonts w:ascii="Times New Roman" w:hAnsi="Times New Roman" w:cs="Times New Roman"/>
                <w:szCs w:val="20"/>
              </w:rPr>
              <w:t>безопасности дорожно-транспортного комплекса, снижение смертности от дорожно-транспортных происшествий</w:t>
            </w:r>
          </w:p>
        </w:tc>
      </w:tr>
      <w:tr w:rsidR="003A7656" w:rsidRPr="007606A8" w:rsidTr="00FC21A1">
        <w:trPr>
          <w:trHeight w:val="343"/>
        </w:trPr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844A7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844A7">
              <w:rPr>
                <w:rFonts w:ascii="Times New Roman" w:eastAsiaTheme="minorEastAsia" w:hAnsi="Times New Roman" w:cs="Times New Roman"/>
              </w:rPr>
              <w:t>3.1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0"/>
              </w:rPr>
            </w:pPr>
            <w:r w:rsidRPr="007844A7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138" w:right="-1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844A7">
              <w:rPr>
                <w:rFonts w:ascii="Times New Roman" w:eastAsia="Times New Roman" w:hAnsi="Times New Roman" w:cs="Times New Roman"/>
                <w:szCs w:val="20"/>
              </w:rPr>
              <w:t>Региональный проект «Безопасность дорожного движения»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0"/>
              </w:rPr>
            </w:pPr>
            <w:r w:rsidRPr="007844A7">
              <w:rPr>
                <w:rFonts w:ascii="Times New Roman" w:hAnsi="Times New Roman" w:cs="Times New Roman"/>
                <w:szCs w:val="20"/>
              </w:rPr>
              <w:t>чел./100 тыс. населения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 w:rsidRPr="007844A7">
              <w:rPr>
                <w:rFonts w:ascii="Times New Roman" w:hAnsi="Times New Roman" w:cs="Times New Roman"/>
                <w:szCs w:val="20"/>
              </w:rPr>
              <w:t>7,488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57" w:right="-15" w:firstLine="12"/>
              <w:rPr>
                <w:rFonts w:ascii="Times New Roman" w:hAnsi="Times New Roman" w:cs="Times New Roman"/>
                <w:szCs w:val="20"/>
              </w:rPr>
            </w:pPr>
            <w:r w:rsidRPr="007844A7">
              <w:rPr>
                <w:rFonts w:ascii="Times New Roman" w:hAnsi="Times New Roman" w:cs="Times New Roman"/>
                <w:szCs w:val="20"/>
              </w:rPr>
              <w:t>7,488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844A7" w:rsidRDefault="003A7656" w:rsidP="00FC21A1">
            <w:pPr>
              <w:spacing w:after="0" w:line="240" w:lineRule="auto"/>
              <w:ind w:left="-12" w:right="-57" w:firstLine="12"/>
              <w:rPr>
                <w:rFonts w:ascii="Times New Roman" w:hAnsi="Times New Roman" w:cs="Times New Roman"/>
                <w:szCs w:val="20"/>
              </w:rPr>
            </w:pPr>
            <w:r w:rsidRPr="007844A7">
              <w:rPr>
                <w:rFonts w:ascii="Times New Roman" w:hAnsi="Times New Roman" w:cs="Times New Roman"/>
                <w:szCs w:val="20"/>
              </w:rPr>
              <w:t>7,488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 w:rsidRPr="007844A7">
              <w:rPr>
                <w:rFonts w:ascii="Times New Roman" w:hAnsi="Times New Roman" w:cs="Times New Roman"/>
                <w:szCs w:val="20"/>
              </w:rPr>
              <w:t>11,21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 w:rsidRPr="007844A7">
              <w:rPr>
                <w:rFonts w:ascii="Times New Roman" w:hAnsi="Times New Roman" w:cs="Times New Roman"/>
                <w:szCs w:val="20"/>
              </w:rPr>
              <w:t>11,21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56" w:rsidRPr="007844A7" w:rsidRDefault="003A7656" w:rsidP="00FC21A1">
            <w:pPr>
              <w:spacing w:line="240" w:lineRule="auto"/>
              <w:ind w:left="-12" w:right="-15" w:firstLine="12"/>
              <w:rPr>
                <w:rFonts w:ascii="Times New Roman" w:hAnsi="Times New Roman" w:cs="Times New Roman"/>
                <w:szCs w:val="20"/>
              </w:rPr>
            </w:pPr>
            <w:r w:rsidRPr="007844A7">
              <w:rPr>
                <w:rFonts w:ascii="Times New Roman" w:hAnsi="Times New Roman" w:cs="Times New Roman"/>
                <w:szCs w:val="20"/>
              </w:rPr>
              <w:t>11,21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844A7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844A7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7606A8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УРИиЭ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56" w:rsidRPr="00BF034F" w:rsidRDefault="003A7656" w:rsidP="00FC21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3.01.02</w:t>
            </w:r>
          </w:p>
        </w:tc>
      </w:tr>
    </w:tbl>
    <w:p w:rsidR="003A7656" w:rsidRDefault="003A7656" w:rsidP="003A76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7656" w:rsidRDefault="003A7656" w:rsidP="003A765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2A2E17" w:rsidRPr="002248ED" w:rsidRDefault="00084C13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A2E17"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A2E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A2E17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A7656" w:rsidRPr="00832792" w:rsidRDefault="003A7656" w:rsidP="003A76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9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Перечень мероприятий подпрограммы 3 «Безопасность дорожного движения»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343"/>
        <w:gridCol w:w="708"/>
        <w:gridCol w:w="1419"/>
        <w:gridCol w:w="1135"/>
        <w:gridCol w:w="1131"/>
        <w:gridCol w:w="1277"/>
        <w:gridCol w:w="1237"/>
        <w:gridCol w:w="599"/>
        <w:gridCol w:w="499"/>
        <w:gridCol w:w="554"/>
        <w:gridCol w:w="526"/>
        <w:gridCol w:w="935"/>
        <w:gridCol w:w="935"/>
        <w:gridCol w:w="811"/>
        <w:gridCol w:w="847"/>
        <w:gridCol w:w="817"/>
      </w:tblGrid>
      <w:tr w:rsidR="003A7656" w:rsidRPr="000A7456" w:rsidTr="00FC21A1">
        <w:trPr>
          <w:trHeight w:val="32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656" w:rsidRPr="000A7456" w:rsidTr="00FC21A1">
        <w:trPr>
          <w:trHeight w:val="170"/>
          <w:tblHeader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170"/>
          <w:tblHeader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A7656" w:rsidRPr="000A7456" w:rsidTr="00FC21A1"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2E684F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01.</w:t>
            </w:r>
          </w:p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безопасного поведения на дорогах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A7656" w:rsidRPr="000A7456" w:rsidTr="00FC21A1"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B609E3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619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926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56" w:rsidRPr="002E684F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Мероприятие 01.02.</w:t>
            </w:r>
          </w:p>
          <w:p w:rsidR="003A76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3A7656" w:rsidRPr="000A7456" w:rsidTr="00FC21A1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B609E3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619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126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комплексного развития транспортной инфраструктуры, шт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ED4B5A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A7656" w:rsidRPr="000A7456" w:rsidTr="00FC21A1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656" w:rsidRPr="000E7F30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656" w:rsidRPr="000E7F30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656" w:rsidRPr="000E7F30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656" w:rsidRPr="000E7F30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DC5D77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DC5D77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DC5D77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DC5D77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239"/>
        </w:trPr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 w:bidi="ru-RU"/>
              </w:rPr>
              <w:t>Инженерно-техническое проектирование и разработка проектно-сметной документации для капитального ремонта пешеходного моста через реку Москву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, шт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DC5D77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D529C5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9C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D529C5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9C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D529C5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9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A7656" w:rsidRPr="000A7456" w:rsidTr="00FC21A1">
        <w:trPr>
          <w:trHeight w:val="239"/>
        </w:trPr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Установка остановочных павильонов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шт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DC5D77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D529C5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D529C5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D529C5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4B7D3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A7656" w:rsidRPr="000A7456" w:rsidTr="00FC21A1">
        <w:trPr>
          <w:trHeight w:val="19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A7656" w:rsidRPr="000A7456" w:rsidTr="00FC21A1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B609E3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619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656" w:rsidRPr="000A7456" w:rsidTr="00FC21A1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30 285,00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Pr="000A74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56" w:rsidRDefault="003A7656" w:rsidP="00FC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6" w:rsidRPr="000A7456" w:rsidRDefault="003A7656" w:rsidP="00FC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7656" w:rsidRDefault="003A7656" w:rsidP="003A765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656" w:rsidRPr="002248ED" w:rsidRDefault="003A7656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7656" w:rsidRPr="002248ED" w:rsidSect="002248E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F" w:rsidRDefault="004864AF" w:rsidP="00613F6B">
      <w:pPr>
        <w:spacing w:after="0" w:line="240" w:lineRule="auto"/>
      </w:pPr>
      <w:r>
        <w:separator/>
      </w:r>
    </w:p>
  </w:endnote>
  <w:end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F" w:rsidRDefault="004864AF" w:rsidP="00613F6B">
      <w:pPr>
        <w:spacing w:after="0" w:line="240" w:lineRule="auto"/>
      </w:pPr>
      <w:r>
        <w:separator/>
      </w:r>
    </w:p>
  </w:footnote>
  <w:foot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18D"/>
    <w:rsid w:val="00027778"/>
    <w:rsid w:val="00027C0F"/>
    <w:rsid w:val="00060353"/>
    <w:rsid w:val="000618A0"/>
    <w:rsid w:val="00084C13"/>
    <w:rsid w:val="000861B5"/>
    <w:rsid w:val="000A7456"/>
    <w:rsid w:val="000C12BE"/>
    <w:rsid w:val="000C486E"/>
    <w:rsid w:val="000C55C2"/>
    <w:rsid w:val="000E1FA2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7573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656"/>
    <w:rsid w:val="003A7C21"/>
    <w:rsid w:val="003B27BC"/>
    <w:rsid w:val="003B607A"/>
    <w:rsid w:val="003B75EB"/>
    <w:rsid w:val="003D75BB"/>
    <w:rsid w:val="003E348A"/>
    <w:rsid w:val="004059D8"/>
    <w:rsid w:val="00412D2D"/>
    <w:rsid w:val="004215D2"/>
    <w:rsid w:val="00427732"/>
    <w:rsid w:val="0044304D"/>
    <w:rsid w:val="004459B2"/>
    <w:rsid w:val="004713FC"/>
    <w:rsid w:val="004766BF"/>
    <w:rsid w:val="00477004"/>
    <w:rsid w:val="00481D1C"/>
    <w:rsid w:val="004864AF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92095"/>
    <w:rsid w:val="005B039D"/>
    <w:rsid w:val="005B4734"/>
    <w:rsid w:val="005D0BE7"/>
    <w:rsid w:val="005D49F3"/>
    <w:rsid w:val="00611478"/>
    <w:rsid w:val="00613F6B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66B61"/>
    <w:rsid w:val="00880007"/>
    <w:rsid w:val="00883636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15EB8"/>
    <w:rsid w:val="00A234A3"/>
    <w:rsid w:val="00A321B2"/>
    <w:rsid w:val="00A373B6"/>
    <w:rsid w:val="00A60DC2"/>
    <w:rsid w:val="00A746B5"/>
    <w:rsid w:val="00A94AC6"/>
    <w:rsid w:val="00AA175A"/>
    <w:rsid w:val="00AB5CF0"/>
    <w:rsid w:val="00AC56E6"/>
    <w:rsid w:val="00AD21DC"/>
    <w:rsid w:val="00AD2FF5"/>
    <w:rsid w:val="00AD7D3A"/>
    <w:rsid w:val="00B3188A"/>
    <w:rsid w:val="00B35BAC"/>
    <w:rsid w:val="00B60994"/>
    <w:rsid w:val="00B67767"/>
    <w:rsid w:val="00B72BE8"/>
    <w:rsid w:val="00B833B0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D008F0"/>
    <w:rsid w:val="00D01C6C"/>
    <w:rsid w:val="00D04561"/>
    <w:rsid w:val="00D111CC"/>
    <w:rsid w:val="00D13F3D"/>
    <w:rsid w:val="00D14AD0"/>
    <w:rsid w:val="00D36573"/>
    <w:rsid w:val="00D44DD8"/>
    <w:rsid w:val="00D54142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6F59"/>
    <w:rsid w:val="00E172CB"/>
    <w:rsid w:val="00E24EB7"/>
    <w:rsid w:val="00E26613"/>
    <w:rsid w:val="00E343C3"/>
    <w:rsid w:val="00E37F93"/>
    <w:rsid w:val="00E44C1A"/>
    <w:rsid w:val="00E50F6E"/>
    <w:rsid w:val="00E65891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153C826-8DDE-4C24-AC48-04D027A1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2025-01-22T05:49:00Z</cp:lastPrinted>
  <dcterms:created xsi:type="dcterms:W3CDTF">2025-03-05T13:32:00Z</dcterms:created>
  <dcterms:modified xsi:type="dcterms:W3CDTF">2025-03-06T09:27:00Z</dcterms:modified>
</cp:coreProperties>
</file>